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</w:r>
    </w:p>
    <w:p>
      <w:pPr>
        <w:pStyle w:val="Normal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</w:r>
    </w:p>
    <w:p>
      <w:pPr>
        <w:pStyle w:val="Normal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</w:r>
    </w:p>
    <w:p>
      <w:pPr>
        <w:pStyle w:val="Normal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</w:r>
    </w:p>
    <w:p>
      <w:pPr>
        <w:pStyle w:val="Normal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</w:r>
    </w:p>
    <w:p>
      <w:pPr>
        <w:pStyle w:val="Normal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</w:r>
    </w:p>
    <w:p>
      <w:pPr>
        <w:pStyle w:val="Normal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</w:r>
    </w:p>
    <w:p>
      <w:pPr>
        <w:pStyle w:val="Normal"/>
        <w:widowControl/>
        <w:bidi w:val="0"/>
        <w:spacing w:before="0" w:after="200"/>
        <w:ind w:left="1077" w:right="0" w:hanging="0"/>
        <w:jc w:val="left"/>
        <w:rPr/>
      </w:pPr>
      <w:bookmarkStart w:id="0" w:name="_gjdgxs1"/>
      <w:bookmarkEnd w:id="0"/>
      <w:r>
        <w:rPr>
          <w:color w:val="999999"/>
          <w:sz w:val="24"/>
          <w:szCs w:val="24"/>
        </w:rPr>
        <w:t>Клинические рекомендации</w:t>
      </w:r>
      <w:r>
        <w:rPr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360" w:before="0" w:after="200"/>
        <w:ind w:left="1077" w:right="0" w:hanging="0"/>
        <w:jc w:val="both"/>
        <w:rPr>
          <w:rFonts w:eastAsia="Times New Roman"/>
          <w:b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Ростовые (неодонтогенные) кисты полости рта</w:t>
      </w:r>
    </w:p>
    <w:p>
      <w:pPr>
        <w:pStyle w:val="Normal"/>
        <w:spacing w:lineRule="auto" w:line="360"/>
        <w:jc w:val="both"/>
        <w:rPr>
          <w:rFonts w:eastAsia="Times New Roman"/>
          <w:color w:val="999999"/>
          <w:sz w:val="24"/>
          <w:szCs w:val="24"/>
        </w:rPr>
      </w:pPr>
      <w:r>
        <w:rPr>
          <w:rFonts w:eastAsia="Times New Roman"/>
          <w:color w:val="999999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/>
          <w:color w:val="999999"/>
          <w:sz w:val="24"/>
          <w:szCs w:val="24"/>
        </w:rPr>
      </w:pPr>
      <w:r>
        <w:rPr>
          <w:rFonts w:eastAsia="Times New Roman"/>
          <w:color w:val="999999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/>
          <w:color w:val="999999"/>
          <w:sz w:val="24"/>
          <w:szCs w:val="24"/>
        </w:rPr>
      </w:pPr>
      <w:r>
        <w:rPr>
          <w:rFonts w:eastAsia="Times New Roman"/>
          <w:color w:val="999999"/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200"/>
        <w:ind w:left="0" w:right="5329" w:hanging="0"/>
        <w:jc w:val="right"/>
        <w:rPr/>
      </w:pPr>
      <w:r>
        <w:rPr>
          <w:rFonts w:eastAsia="Times New Roman"/>
          <w:color w:val="999999"/>
          <w:sz w:val="24"/>
          <w:szCs w:val="24"/>
        </w:rPr>
        <w:t>Кодирование по Международной статистической классификации болезней и проблем, связанных со здоровьем:</w:t>
      </w:r>
      <w:r>
        <w:rPr>
          <w:rFonts w:eastAsia="Times New Roman"/>
          <w:sz w:val="24"/>
          <w:szCs w:val="24"/>
        </w:rPr>
        <w:t xml:space="preserve"> К09.10, К09.11, К09.12</w:t>
      </w:r>
    </w:p>
    <w:p>
      <w:pPr>
        <w:pStyle w:val="Normal"/>
        <w:widowControl/>
        <w:bidi w:val="0"/>
        <w:spacing w:lineRule="auto" w:line="360" w:before="0" w:after="200"/>
        <w:ind w:left="0" w:right="5329" w:hanging="0"/>
        <w:jc w:val="right"/>
        <w:rPr/>
      </w:pPr>
      <w:r>
        <w:rPr>
          <w:rFonts w:eastAsia="Times New Roman"/>
          <w:color w:val="999999"/>
          <w:sz w:val="24"/>
          <w:szCs w:val="24"/>
        </w:rPr>
        <w:t>Возрастная категория:</w:t>
      </w:r>
      <w:r>
        <w:rPr>
          <w:rFonts w:eastAsia="Times New Roman"/>
          <w:sz w:val="24"/>
          <w:szCs w:val="24"/>
        </w:rPr>
        <w:t xml:space="preserve"> дети</w:t>
      </w:r>
    </w:p>
    <w:p>
      <w:pPr>
        <w:pStyle w:val="Normal"/>
        <w:widowControl/>
        <w:bidi w:val="0"/>
        <w:spacing w:lineRule="auto" w:line="360" w:before="0" w:after="200"/>
        <w:ind w:left="0" w:right="5329" w:hanging="0"/>
        <w:jc w:val="right"/>
        <w:rPr/>
      </w:pPr>
      <w:r>
        <w:rPr>
          <w:rFonts w:eastAsia="Times New Roman"/>
          <w:color w:val="999999"/>
          <w:sz w:val="24"/>
          <w:szCs w:val="24"/>
        </w:rPr>
        <w:t>Год утверждения:</w:t>
      </w:r>
      <w:r>
        <w:rPr>
          <w:rFonts w:eastAsia="Times New Roman"/>
          <w:sz w:val="24"/>
          <w:szCs w:val="24"/>
        </w:rPr>
        <w:t xml:space="preserve">  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color w:val="999999"/>
          <w:kern w:val="0"/>
          <w:sz w:val="24"/>
          <w:szCs w:val="24"/>
          <w:lang w:val="ru-RU" w:eastAsia="ru-RU" w:bidi="ar-SA"/>
        </w:rPr>
        <w:t>Р</w:t>
      </w:r>
      <w:r>
        <w:rPr>
          <w:rFonts w:eastAsia="Times New Roman"/>
          <w:color w:val="999999"/>
          <w:sz w:val="24"/>
          <w:szCs w:val="24"/>
        </w:rPr>
        <w:t>азработчик клинической рекомендации:</w:t>
      </w:r>
    </w:p>
    <w:p>
      <w:pPr>
        <w:pStyle w:val="Normal"/>
        <w:numPr>
          <w:ilvl w:val="0"/>
          <w:numId w:val="2"/>
        </w:numPr>
        <w:spacing w:lineRule="auto" w:line="360"/>
        <w:ind w:left="0" w:firstLine="708"/>
        <w:jc w:val="both"/>
        <w:rPr>
          <w:rFonts w:eastAsia="Times New Roman"/>
          <w:color w:val="262626"/>
          <w:sz w:val="24"/>
          <w:szCs w:val="24"/>
        </w:rPr>
      </w:pPr>
      <w:r>
        <w:rPr>
          <w:rFonts w:eastAsia="Times New Roman"/>
          <w:color w:val="262626"/>
          <w:sz w:val="24"/>
          <w:szCs w:val="24"/>
        </w:rPr>
        <w:t>Стоматологическая ассоциация России</w:t>
      </w:r>
    </w:p>
    <w:p>
      <w:pPr>
        <w:pStyle w:val="Normal"/>
        <w:spacing w:lineRule="auto" w:line="360"/>
        <w:ind w:left="0" w:firstLine="708"/>
        <w:jc w:val="both"/>
        <w:rPr>
          <w:rFonts w:eastAsia="Times New Roman"/>
          <w:color w:val="262626"/>
          <w:sz w:val="24"/>
          <w:szCs w:val="24"/>
        </w:rPr>
      </w:pPr>
      <w:r>
        <w:rPr>
          <w:rFonts w:eastAsia="Times New Roman"/>
          <w:color w:val="262626"/>
          <w:sz w:val="24"/>
          <w:szCs w:val="24"/>
        </w:rPr>
      </w:r>
      <w:bookmarkStart w:id="1" w:name="_Toc49952125"/>
      <w:bookmarkStart w:id="2" w:name="_Toc49952125"/>
      <w:bookmarkEnd w:id="2"/>
    </w:p>
    <w:p>
      <w:pPr>
        <w:pStyle w:val="Normal"/>
        <w:spacing w:lineRule="auto" w:line="360"/>
        <w:ind w:left="0" w:firstLine="708"/>
        <w:jc w:val="both"/>
        <w:rPr>
          <w:rFonts w:eastAsia="Times New Roman"/>
          <w:color w:val="262626"/>
          <w:sz w:val="24"/>
          <w:szCs w:val="24"/>
        </w:rPr>
      </w:pPr>
      <w:r>
        <w:rPr>
          <w:rFonts w:eastAsia="Times New Roman"/>
          <w:color w:val="262626"/>
          <w:sz w:val="24"/>
          <w:szCs w:val="24"/>
        </w:rPr>
      </w:r>
    </w:p>
    <w:p>
      <w:pPr>
        <w:pStyle w:val="Normal"/>
        <w:spacing w:lineRule="auto" w:line="360"/>
        <w:ind w:left="0" w:firstLine="708"/>
        <w:jc w:val="both"/>
        <w:rPr>
          <w:rFonts w:eastAsia="Times New Roman"/>
          <w:color w:val="262626"/>
          <w:sz w:val="24"/>
          <w:szCs w:val="24"/>
        </w:rPr>
      </w:pPr>
      <w:r>
        <w:rPr>
          <w:rFonts w:eastAsia="Times New Roman"/>
          <w:color w:val="262626"/>
          <w:sz w:val="24"/>
          <w:szCs w:val="24"/>
        </w:rPr>
      </w:r>
    </w:p>
    <w:p>
      <w:pPr>
        <w:pStyle w:val="1"/>
        <w:ind w:right="5" w:hanging="0"/>
        <w:rPr>
          <w:sz w:val="24"/>
          <w:szCs w:val="24"/>
        </w:rPr>
      </w:pPr>
      <w:r>
        <w:rPr>
          <w:sz w:val="24"/>
          <w:szCs w:val="24"/>
        </w:rPr>
      </w:r>
      <w:bookmarkStart w:id="3" w:name="_gjdgxs"/>
      <w:bookmarkStart w:id="4" w:name="_Toc50366609"/>
      <w:bookmarkStart w:id="5" w:name="_gjdgxs"/>
      <w:bookmarkStart w:id="6" w:name="_Toc50366609"/>
      <w:bookmarkEnd w:id="5"/>
      <w:bookmarkEnd w:id="6"/>
    </w:p>
    <w:p>
      <w:pPr>
        <w:pStyle w:val="Normal"/>
        <w:spacing w:lineRule="auto" w:line="360"/>
        <w:jc w:val="both"/>
        <w:rPr>
          <w:rFonts w:eastAsia="Times New Roman"/>
          <w:color w:val="999999"/>
          <w:sz w:val="24"/>
          <w:szCs w:val="24"/>
        </w:rPr>
      </w:pPr>
      <w:r>
        <w:rPr>
          <w:rFonts w:eastAsia="Times New Roman"/>
          <w:color w:val="999999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eastAsia="Times New Roman"/>
          <w:b/>
          <w:b/>
          <w:bCs/>
          <w:color w:val="262626"/>
          <w:sz w:val="28"/>
          <w:szCs w:val="28"/>
        </w:rPr>
      </w:pPr>
      <w:bookmarkStart w:id="7" w:name="_4chu7dplny7v"/>
      <w:bookmarkEnd w:id="7"/>
      <w:r>
        <w:rPr>
          <w:rFonts w:eastAsia="Times New Roman"/>
          <w:b/>
          <w:bCs/>
          <w:color w:val="262626"/>
          <w:sz w:val="28"/>
          <w:szCs w:val="28"/>
        </w:rPr>
        <w:t>Оглавление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1"/>
            <w:tabs>
              <w:tab w:val="clear" w:pos="9336"/>
              <w:tab w:val="right" w:pos="9346" w:leader="dot"/>
            </w:tabs>
            <w:rPr/>
          </w:pPr>
          <w:r>
            <w:fldChar w:fldCharType="begin"/>
          </w:r>
          <w:r>
            <w:rPr>
              <w:webHidden/>
              <w:vanish w:val="false"/>
            </w:rPr>
            <w:instrText> TOC \z \o "1-9" \u \h</w:instrText>
          </w:r>
          <w:r>
            <w:rPr>
              <w:webHidden/>
              <w:vanish w:val="false"/>
            </w:rPr>
            <w:fldChar w:fldCharType="separate"/>
          </w:r>
          <w:hyperlink w:anchor="__RefHeading___Toc14530_2770555280">
            <w:r>
              <w:rPr>
                <w:webHidden/>
                <w:vanish w:val="false"/>
              </w:rPr>
              <w:t>Список сокращений</w:t>
              <w:tab/>
              <w:t>4</w:t>
            </w:r>
          </w:hyperlink>
        </w:p>
        <w:p>
          <w:pPr>
            <w:pStyle w:val="11"/>
            <w:tabs>
              <w:tab w:val="clear" w:pos="9336"/>
              <w:tab w:val="right" w:pos="9346" w:leader="dot"/>
            </w:tabs>
            <w:rPr/>
          </w:pPr>
          <w:hyperlink w:anchor="__RefHeading___Toc14532_2770555280">
            <w:r>
              <w:rPr>
                <w:webHidden/>
                <w:vanish w:val="false"/>
              </w:rPr>
              <w:t>Термины и определения</w:t>
              <w:tab/>
              <w:t>5</w:t>
            </w:r>
          </w:hyperlink>
        </w:p>
        <w:p>
          <w:pPr>
            <w:pStyle w:val="11"/>
            <w:tabs>
              <w:tab w:val="clear" w:pos="9336"/>
              <w:tab w:val="right" w:pos="9346" w:leader="dot"/>
            </w:tabs>
            <w:rPr/>
          </w:pPr>
          <w:hyperlink w:anchor="__RefHeading___Toc14534_2770555280">
            <w:r>
              <w:rPr>
                <w:webHidden/>
                <w:vanish w:val="false"/>
              </w:rPr>
              <w:t>1. Краткая информация по заболеванию или состоянию</w:t>
              <w:tab/>
              <w:t>5</w:t>
            </w:r>
          </w:hyperlink>
        </w:p>
        <w:p>
          <w:pPr>
            <w:pStyle w:val="21"/>
            <w:tabs>
              <w:tab w:val="clear" w:pos="709"/>
              <w:tab w:val="right" w:pos="9346" w:leader="dot"/>
            </w:tabs>
            <w:rPr/>
          </w:pPr>
          <w:hyperlink w:anchor="__RefHeading___Toc14536_2770555280">
            <w:r>
              <w:rPr>
                <w:webHidden/>
                <w:vanish w:val="false"/>
              </w:rPr>
              <w:t>1.1 Определение заболевания или состояния</w:t>
              <w:tab/>
              <w:t>5</w:t>
            </w:r>
          </w:hyperlink>
        </w:p>
        <w:p>
          <w:pPr>
            <w:pStyle w:val="21"/>
            <w:tabs>
              <w:tab w:val="clear" w:pos="709"/>
              <w:tab w:val="right" w:pos="9346" w:leader="dot"/>
            </w:tabs>
            <w:rPr/>
          </w:pPr>
          <w:hyperlink w:anchor="__RefHeading___Toc14538_2770555280">
            <w:r>
              <w:rPr>
                <w:webHidden/>
                <w:vanish w:val="false"/>
              </w:rPr>
              <w:t>1.2 Этиология и патогенез заболевания или состояния</w:t>
              <w:tab/>
              <w:t>6</w:t>
            </w:r>
          </w:hyperlink>
        </w:p>
        <w:p>
          <w:pPr>
            <w:pStyle w:val="21"/>
            <w:tabs>
              <w:tab w:val="clear" w:pos="709"/>
              <w:tab w:val="right" w:pos="9346" w:leader="dot"/>
            </w:tabs>
            <w:rPr/>
          </w:pPr>
          <w:hyperlink w:anchor="__RefHeading___Toc14542_2770555280">
            <w:r>
              <w:rPr>
                <w:webHidden/>
                <w:vanish w:val="false"/>
              </w:rPr>
              <w:t>1.3 Особенности кодирования заболевания или состояния по Международной статистической классификации болезней и проблем, связанных со здоровьем</w:t>
              <w:tab/>
              <w:t>6</w:t>
            </w:r>
          </w:hyperlink>
        </w:p>
        <w:p>
          <w:pPr>
            <w:pStyle w:val="21"/>
            <w:tabs>
              <w:tab w:val="clear" w:pos="709"/>
              <w:tab w:val="right" w:pos="9346" w:leader="dot"/>
            </w:tabs>
            <w:rPr/>
          </w:pPr>
          <w:hyperlink w:anchor="__RefHeading___Toc14544_2770555280">
            <w:r>
              <w:rPr>
                <w:webHidden/>
                <w:vanish w:val="false"/>
              </w:rPr>
              <w:t>1.4 Клиническая картина заболевания или состояния</w:t>
              <w:tab/>
              <w:t>6</w:t>
            </w:r>
          </w:hyperlink>
        </w:p>
        <w:p>
          <w:pPr>
            <w:pStyle w:val="11"/>
            <w:tabs>
              <w:tab w:val="clear" w:pos="9336"/>
              <w:tab w:val="right" w:pos="9346" w:leader="dot"/>
            </w:tabs>
            <w:rPr/>
          </w:pPr>
          <w:hyperlink w:anchor="__RefHeading___Toc14546_2770555280">
            <w:r>
              <w:rPr>
                <w:webHidden/>
                <w:vanish w:val="false"/>
              </w:rPr>
              <w:t>2. Диагностика заболевания или состояния, медицинские показания и противопоказания к применению методов диагностики</w:t>
              <w:tab/>
              <w:t>6</w:t>
            </w:r>
          </w:hyperlink>
        </w:p>
        <w:p>
          <w:pPr>
            <w:pStyle w:val="21"/>
            <w:tabs>
              <w:tab w:val="clear" w:pos="709"/>
              <w:tab w:val="right" w:pos="9346" w:leader="dot"/>
            </w:tabs>
            <w:rPr/>
          </w:pPr>
          <w:hyperlink w:anchor="__RefHeading___Toc14548_2770555280">
            <w:r>
              <w:rPr>
                <w:webHidden/>
                <w:vanish w:val="false"/>
              </w:rPr>
              <w:t>2.1 Жалобы и анамнез</w:t>
              <w:tab/>
              <w:t>7</w:t>
            </w:r>
          </w:hyperlink>
        </w:p>
        <w:p>
          <w:pPr>
            <w:pStyle w:val="31"/>
            <w:tabs>
              <w:tab w:val="clear" w:pos="709"/>
              <w:tab w:val="right" w:pos="9346" w:leader="dot"/>
            </w:tabs>
            <w:rPr/>
          </w:pPr>
          <w:hyperlink w:anchor="__RefHeading___Toc14550_2770555280">
            <w:r>
              <w:rPr>
                <w:webHidden/>
                <w:vanish w:val="false"/>
              </w:rPr>
              <w:t>2.1.1 При сборе анамнеза необходимо учитывать:</w:t>
              <w:tab/>
              <w:t>7</w:t>
            </w:r>
          </w:hyperlink>
        </w:p>
        <w:p>
          <w:pPr>
            <w:pStyle w:val="21"/>
            <w:tabs>
              <w:tab w:val="clear" w:pos="709"/>
              <w:tab w:val="right" w:pos="9346" w:leader="dot"/>
            </w:tabs>
            <w:rPr/>
          </w:pPr>
          <w:hyperlink w:anchor="__RefHeading___Toc14552_2770555280">
            <w:r>
              <w:rPr>
                <w:webHidden/>
                <w:vanish w:val="false"/>
              </w:rPr>
              <w:t>2.2 Физикальное обследование</w:t>
              <w:tab/>
              <w:t>7</w:t>
            </w:r>
          </w:hyperlink>
        </w:p>
        <w:p>
          <w:pPr>
            <w:pStyle w:val="21"/>
            <w:tabs>
              <w:tab w:val="clear" w:pos="709"/>
              <w:tab w:val="right" w:pos="9346" w:leader="dot"/>
            </w:tabs>
            <w:rPr/>
          </w:pPr>
          <w:hyperlink w:anchor="__RefHeading___Toc14554_2770555280">
            <w:r>
              <w:rPr>
                <w:webHidden/>
                <w:vanish w:val="false"/>
              </w:rPr>
              <w:t>2.3 Лабораторная диагностические исследования</w:t>
              <w:tab/>
              <w:t>8</w:t>
            </w:r>
          </w:hyperlink>
        </w:p>
        <w:p>
          <w:pPr>
            <w:pStyle w:val="21"/>
            <w:tabs>
              <w:tab w:val="clear" w:pos="709"/>
              <w:tab w:val="right" w:pos="9346" w:leader="dot"/>
            </w:tabs>
            <w:rPr/>
          </w:pPr>
          <w:hyperlink w:anchor="__RefHeading___Toc14556_2770555280">
            <w:r>
              <w:rPr>
                <w:webHidden/>
                <w:vanish w:val="false"/>
              </w:rPr>
              <w:t>2.4 Инструментальная диагностические исследования</w:t>
              <w:tab/>
              <w:t>8</w:t>
            </w:r>
          </w:hyperlink>
        </w:p>
        <w:p>
          <w:pPr>
            <w:pStyle w:val="21"/>
            <w:tabs>
              <w:tab w:val="clear" w:pos="709"/>
              <w:tab w:val="right" w:pos="9346" w:leader="dot"/>
            </w:tabs>
            <w:rPr/>
          </w:pPr>
          <w:hyperlink w:anchor="__RefHeading___Toc14558_2770555280">
            <w:r>
              <w:rPr>
                <w:webHidden/>
                <w:vanish w:val="false"/>
              </w:rPr>
              <w:t>2.5 Иная диагностические исследования</w:t>
              <w:tab/>
              <w:t>9</w:t>
            </w:r>
          </w:hyperlink>
        </w:p>
        <w:p>
          <w:pPr>
            <w:pStyle w:val="31"/>
            <w:tabs>
              <w:tab w:val="clear" w:pos="709"/>
              <w:tab w:val="right" w:pos="9346" w:leader="dot"/>
            </w:tabs>
            <w:rPr/>
          </w:pPr>
          <w:hyperlink w:anchor="__RefHeading___Toc14560_2770555280">
            <w:r>
              <w:rPr>
                <w:webHidden/>
                <w:vanish w:val="false"/>
              </w:rPr>
              <w:t>2.5.1. фото- и видеосъемка с помощью внутриротовой видеокамеры</w:t>
              <w:tab/>
              <w:t>9</w:t>
            </w:r>
          </w:hyperlink>
        </w:p>
        <w:p>
          <w:pPr>
            <w:pStyle w:val="11"/>
            <w:tabs>
              <w:tab w:val="clear" w:pos="9336"/>
              <w:tab w:val="right" w:pos="9346" w:leader="dot"/>
            </w:tabs>
            <w:rPr/>
          </w:pPr>
          <w:hyperlink w:anchor="__RefHeading___Toc14562_2770555280">
            <w:r>
              <w:rPr>
                <w:webHidden/>
                <w:vanish w:val="false"/>
              </w:rPr>
              <w:t>3. Лечение, включая медикаментозную и не медикаментозную терапии, диетотерапию, обезболивание, медицинские показания и противопоказания к применению методов лечения</w:t>
              <w:tab/>
              <w:t>9</w:t>
            </w:r>
          </w:hyperlink>
        </w:p>
        <w:p>
          <w:pPr>
            <w:pStyle w:val="21"/>
            <w:tabs>
              <w:tab w:val="clear" w:pos="709"/>
              <w:tab w:val="right" w:pos="9346" w:leader="dot"/>
            </w:tabs>
            <w:rPr/>
          </w:pPr>
          <w:hyperlink w:anchor="__RefHeading___Toc14564_2770555280">
            <w:r>
              <w:rPr>
                <w:webHidden/>
                <w:vanish w:val="false"/>
              </w:rPr>
              <w:t>3.1 Консервативное лечение</w:t>
              <w:tab/>
              <w:t>9</w:t>
            </w:r>
          </w:hyperlink>
        </w:p>
        <w:p>
          <w:pPr>
            <w:pStyle w:val="21"/>
            <w:tabs>
              <w:tab w:val="clear" w:pos="709"/>
              <w:tab w:val="right" w:pos="9346" w:leader="dot"/>
            </w:tabs>
            <w:rPr/>
          </w:pPr>
          <w:hyperlink w:anchor="__RefHeading___Toc14566_2770555280">
            <w:r>
              <w:rPr>
                <w:webHidden/>
                <w:vanish w:val="false"/>
              </w:rPr>
              <w:t>3.2 Хирургическое лечение</w:t>
              <w:tab/>
              <w:t>10</w:t>
            </w:r>
          </w:hyperlink>
        </w:p>
        <w:p>
          <w:pPr>
            <w:pStyle w:val="31"/>
            <w:tabs>
              <w:tab w:val="clear" w:pos="709"/>
              <w:tab w:val="right" w:pos="9346" w:leader="dot"/>
            </w:tabs>
            <w:rPr/>
          </w:pPr>
          <w:hyperlink w:anchor="__RefHeading___Toc14568_2770555280">
            <w:r>
              <w:rPr>
                <w:webHidden/>
                <w:vanish w:val="false"/>
              </w:rPr>
              <w:t>3.2.1. Алгоритм и особенности проведения хирургического вмешательства</w:t>
              <w:tab/>
              <w:t>10</w:t>
            </w:r>
          </w:hyperlink>
        </w:p>
        <w:p>
          <w:pPr>
            <w:pStyle w:val="31"/>
            <w:tabs>
              <w:tab w:val="clear" w:pos="709"/>
              <w:tab w:val="right" w:pos="9346" w:leader="dot"/>
            </w:tabs>
            <w:rPr/>
          </w:pPr>
          <w:hyperlink w:anchor="__RefHeading___Toc14570_2770555280">
            <w:r>
              <w:rPr>
                <w:webHidden/>
                <w:vanish w:val="false"/>
              </w:rPr>
              <w:t>3.2.2. Осложнения во время операции и послеоперационном периоде</w:t>
              <w:tab/>
              <w:t>10</w:t>
            </w:r>
          </w:hyperlink>
        </w:p>
        <w:p>
          <w:pPr>
            <w:pStyle w:val="11"/>
            <w:tabs>
              <w:tab w:val="clear" w:pos="9336"/>
              <w:tab w:val="right" w:pos="9346" w:leader="dot"/>
            </w:tabs>
            <w:rPr/>
          </w:pPr>
          <w:hyperlink w:anchor="__RefHeading___Toc14572_2770555280">
            <w:r>
              <w:rPr>
                <w:webHidden/>
                <w:vanish w:val="false"/>
              </w:rPr>
              <w:t>4. Медицинская реабилитация, медицинские показания и противопоказания к применению методов реабилитации</w:t>
              <w:tab/>
              <w:t>11</w:t>
            </w:r>
          </w:hyperlink>
        </w:p>
        <w:p>
          <w:pPr>
            <w:pStyle w:val="11"/>
            <w:tabs>
              <w:tab w:val="clear" w:pos="9336"/>
              <w:tab w:val="right" w:pos="9346" w:leader="dot"/>
            </w:tabs>
            <w:rPr/>
          </w:pPr>
          <w:hyperlink w:anchor="__RefHeading___Toc14574_2770555280">
            <w:r>
              <w:rPr>
                <w:webHidden/>
                <w:vanish w:val="false"/>
              </w:rPr>
              <w:t>5. Профилактика и диспансерное наблюдение, медицинские показания и противопоказания к применению методов профилактики</w:t>
              <w:tab/>
              <w:t>11</w:t>
            </w:r>
          </w:hyperlink>
        </w:p>
        <w:p>
          <w:pPr>
            <w:pStyle w:val="21"/>
            <w:tabs>
              <w:tab w:val="clear" w:pos="709"/>
              <w:tab w:val="right" w:pos="9346" w:leader="dot"/>
            </w:tabs>
            <w:rPr/>
          </w:pPr>
          <w:hyperlink w:anchor="__RefHeading___Toc14576_2770555280">
            <w:r>
              <w:rPr>
                <w:webHidden/>
                <w:vanish w:val="false"/>
              </w:rPr>
              <w:t>5.1 Профилактика</w:t>
              <w:tab/>
              <w:t>11</w:t>
            </w:r>
          </w:hyperlink>
        </w:p>
        <w:p>
          <w:pPr>
            <w:pStyle w:val="21"/>
            <w:tabs>
              <w:tab w:val="clear" w:pos="709"/>
              <w:tab w:val="right" w:pos="9346" w:leader="dot"/>
            </w:tabs>
            <w:rPr/>
          </w:pPr>
          <w:hyperlink w:anchor="__RefHeading___Toc14578_2770555280">
            <w:r>
              <w:rPr>
                <w:webHidden/>
                <w:vanish w:val="false"/>
              </w:rPr>
              <w:t>5.2 Диспансеризация</w:t>
              <w:tab/>
              <w:t>12</w:t>
            </w:r>
          </w:hyperlink>
        </w:p>
        <w:p>
          <w:pPr>
            <w:pStyle w:val="11"/>
            <w:tabs>
              <w:tab w:val="clear" w:pos="9336"/>
              <w:tab w:val="right" w:pos="9346" w:leader="dot"/>
            </w:tabs>
            <w:rPr/>
          </w:pPr>
          <w:hyperlink w:anchor="__RefHeading___Toc14580_2770555280">
            <w:r>
              <w:rPr>
                <w:webHidden/>
                <w:vanish w:val="false"/>
              </w:rPr>
              <w:t>6. Организация оказания медицинской помощи</w:t>
              <w:tab/>
              <w:t>12</w:t>
            </w:r>
          </w:hyperlink>
        </w:p>
        <w:p>
          <w:pPr>
            <w:pStyle w:val="11"/>
            <w:tabs>
              <w:tab w:val="clear" w:pos="9336"/>
              <w:tab w:val="right" w:pos="9346" w:leader="dot"/>
            </w:tabs>
            <w:rPr/>
          </w:pPr>
          <w:hyperlink w:anchor="__RefHeading___Toc14582_2770555280">
            <w:r>
              <w:rPr>
                <w:webHidden/>
                <w:vanish w:val="false"/>
              </w:rPr>
              <w:t>7. Дополнительная информация (в том числе факторы, влияющая на исход заболевания или состояния)</w:t>
              <w:tab/>
              <w:t>12</w:t>
            </w:r>
          </w:hyperlink>
        </w:p>
        <w:p>
          <w:pPr>
            <w:pStyle w:val="11"/>
            <w:tabs>
              <w:tab w:val="clear" w:pos="9336"/>
              <w:tab w:val="right" w:pos="9346" w:leader="dot"/>
            </w:tabs>
            <w:rPr/>
          </w:pPr>
          <w:hyperlink w:anchor="__RefHeading___Toc14584_2770555280">
            <w:r>
              <w:rPr>
                <w:webHidden/>
                <w:vanish w:val="false"/>
              </w:rPr>
              <w:t>Критерии оценки качества медицинской помощи</w:t>
              <w:tab/>
              <w:t>13</w:t>
            </w:r>
          </w:hyperlink>
        </w:p>
        <w:p>
          <w:pPr>
            <w:pStyle w:val="11"/>
            <w:tabs>
              <w:tab w:val="clear" w:pos="9336"/>
              <w:tab w:val="right" w:pos="9346" w:leader="dot"/>
            </w:tabs>
            <w:rPr/>
          </w:pPr>
          <w:hyperlink w:anchor="__RefHeading___Toc14586_2770555280">
            <w:r>
              <w:rPr>
                <w:webHidden/>
                <w:vanish w:val="false"/>
              </w:rPr>
              <w:t>Список литературы</w:t>
              <w:tab/>
              <w:t>15</w:t>
            </w:r>
          </w:hyperlink>
        </w:p>
        <w:p>
          <w:pPr>
            <w:pStyle w:val="11"/>
            <w:tabs>
              <w:tab w:val="clear" w:pos="9336"/>
              <w:tab w:val="right" w:pos="9346" w:leader="dot"/>
            </w:tabs>
            <w:rPr/>
          </w:pPr>
          <w:hyperlink w:anchor="__RefHeading___Toc14588_2770555280">
            <w:r>
              <w:rPr>
                <w:webHidden/>
                <w:vanish w:val="false"/>
              </w:rPr>
              <w:t>Приложение А1. Состав рабочей группы по разработке и пересмотру клинических рекомендаций</w:t>
              <w:tab/>
              <w:t>16</w:t>
            </w:r>
          </w:hyperlink>
        </w:p>
        <w:p>
          <w:pPr>
            <w:pStyle w:val="11"/>
            <w:tabs>
              <w:tab w:val="clear" w:pos="9336"/>
              <w:tab w:val="right" w:pos="9346" w:leader="dot"/>
            </w:tabs>
            <w:rPr/>
          </w:pPr>
          <w:hyperlink w:anchor="__RefHeading___Toc14590_2770555280">
            <w:r>
              <w:rPr>
                <w:webHidden/>
                <w:vanish w:val="false"/>
              </w:rPr>
              <w:t>Приложение А2. Методология разработки клинических рекомендаций</w:t>
              <w:tab/>
              <w:t>17</w:t>
            </w:r>
          </w:hyperlink>
        </w:p>
        <w:p>
          <w:pPr>
            <w:pStyle w:val="11"/>
            <w:tabs>
              <w:tab w:val="clear" w:pos="9336"/>
              <w:tab w:val="right" w:pos="9346" w:leader="dot"/>
            </w:tabs>
            <w:rPr/>
          </w:pPr>
          <w:hyperlink w:anchor="__RefHeading___Toc14592_2770555280">
            <w:r>
              <w:rPr>
                <w:webHidden/>
                <w:vanish w:val="false"/>
              </w:rPr>
              <w:t>Приложение В Информация для пациента</w:t>
              <w:tab/>
              <w:t>20</w:t>
            </w:r>
          </w:hyperlink>
          <w:r>
            <w:rPr>
              <w:vanish w:val="false"/>
            </w:rPr>
            <w:fldChar w:fldCharType="end"/>
          </w:r>
        </w:p>
      </w:sdtContent>
    </w:sdt>
    <w:p>
      <w:pPr>
        <w:pStyle w:val="Normal"/>
        <w:tabs>
          <w:tab w:val="clear" w:pos="709"/>
          <w:tab w:val="right" w:pos="9348" w:leader="none"/>
        </w:tabs>
        <w:spacing w:lineRule="auto" w:line="240" w:before="0" w:after="0"/>
        <w:ind w:left="360" w:hanging="0"/>
        <w:rPr>
          <w:rFonts w:eastAsia="Times New Roman"/>
          <w:color w:val="262626"/>
          <w:sz w:val="24"/>
          <w:szCs w:val="24"/>
        </w:rPr>
      </w:pPr>
      <w:r>
        <w:rPr>
          <w:rFonts w:eastAsia="Times New Roman"/>
          <w:color w:val="262626"/>
          <w:sz w:val="24"/>
          <w:szCs w:val="24"/>
        </w:rPr>
      </w:r>
    </w:p>
    <w:p>
      <w:pPr>
        <w:pStyle w:val="1"/>
        <w:rPr>
          <w:color w:val="000000"/>
        </w:rPr>
      </w:pPr>
      <w:bookmarkStart w:id="8" w:name="__RefHeading___Toc14530_2770555280"/>
      <w:bookmarkStart w:id="9" w:name="_Toc50366612"/>
      <w:bookmarkStart w:id="10" w:name="_30j0zll"/>
      <w:bookmarkEnd w:id="8"/>
      <w:bookmarkEnd w:id="10"/>
      <w:r>
        <w:rPr>
          <w:color w:val="000000"/>
        </w:rPr>
        <w:t>Список сокращений</w:t>
      </w:r>
      <w:bookmarkEnd w:id="9"/>
    </w:p>
    <w:p>
      <w:pPr>
        <w:pStyle w:val="Normal"/>
        <w:spacing w:lineRule="auto" w:line="360" w:before="0" w:after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МКБ 10 - международная классификация болезней 10-го пересмотра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МКБ-С - Международная классификация стоматологических болезней на основе МКБ-10.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ЗЧС - зубочелюстная система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ЗЧА - зубочелюстные аномалии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ЦНС - центральная нервная система 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ЭОД - электроодонтодиагностика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1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1"/>
        <w:spacing w:before="0" w:after="0"/>
        <w:rPr/>
      </w:pPr>
      <w:bookmarkStart w:id="11" w:name="__RefHeading___Toc14532_2770555280"/>
      <w:bookmarkStart w:id="12" w:name="_Toc50366613"/>
      <w:bookmarkStart w:id="13" w:name="_y5c5lypeh6al"/>
      <w:bookmarkEnd w:id="11"/>
      <w:bookmarkEnd w:id="13"/>
      <w:r>
        <w:rPr>
          <w:color w:val="000000"/>
        </w:rPr>
        <w:t>Термины и определения</w:t>
      </w:r>
      <w:bookmarkEnd w:id="12"/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b/>
          <w:sz w:val="24"/>
          <w:szCs w:val="24"/>
          <w:highlight w:val="white"/>
        </w:rPr>
        <w:t xml:space="preserve">Киста - </w:t>
      </w:r>
      <w:r>
        <w:rPr>
          <w:rFonts w:eastAsia="Times New Roman"/>
          <w:sz w:val="24"/>
          <w:szCs w:val="24"/>
          <w:highlight w:val="white"/>
        </w:rPr>
        <w:t>опухолеподобное, полостное, доброкачественного характера образование, локализующееся в костных или мягких тканях, имеющее жидкое или полужидкое содержимое. Внутренняя поверхность оболочки кисты выстлана многослойным плоским эпителием, снаружи покрыта слоем фиброзной, соединительной ткани.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 xml:space="preserve">Эпителиальные кисты - </w:t>
      </w:r>
      <w:r>
        <w:rPr>
          <w:rFonts w:eastAsia="Times New Roman"/>
          <w:color w:val="00000A"/>
          <w:sz w:val="24"/>
          <w:szCs w:val="24"/>
        </w:rPr>
        <w:t>различают кисты</w:t>
      </w:r>
      <w:r>
        <w:rPr>
          <w:rFonts w:eastAsia="Times New Roman"/>
          <w:b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эволюционного (пороки развития челюстей и зачатков зубов) и воспалительного генеза (от молочных и постоянных зубов).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 xml:space="preserve">Неодонтогенная киста - </w:t>
      </w:r>
      <w:r>
        <w:rPr>
          <w:rFonts w:eastAsia="Times New Roman"/>
          <w:color w:val="00000A"/>
          <w:sz w:val="24"/>
          <w:szCs w:val="24"/>
        </w:rPr>
        <w:t xml:space="preserve">киста, возникшая в результате порока развития челюстей. 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b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 xml:space="preserve">Глобуломаксиллярная киста (интермаксилярная) - </w:t>
      </w:r>
      <w:r>
        <w:rPr>
          <w:rFonts w:eastAsia="Times New Roman"/>
          <w:color w:val="00000A"/>
          <w:sz w:val="24"/>
          <w:szCs w:val="24"/>
        </w:rPr>
        <w:t>развивается в эмбриональном периоде из остатков эпителия при слиянии межчелюстной (резцовой) кости и альвеолярного отростка верхней челюсти, поэтому обычно располагается в области клыка или между 2-м резцом и клыком.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Средненебная киста (</w:t>
      </w:r>
      <w:r>
        <w:rPr>
          <w:rFonts w:eastAsia="Times New Roman"/>
          <w:color w:val="000000" w:themeColor="text1"/>
          <w:sz w:val="24"/>
          <w:szCs w:val="24"/>
        </w:rPr>
        <w:t xml:space="preserve">нёбные кисты новорожденных, жемчужины Эпштейна) - кисты, образующиеся из эпителиальных включений вдоль линии слияния нёбных пластинок (срединного небного шва). 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 xml:space="preserve">Носонебная киста (киста резцового канала) - </w:t>
      </w:r>
      <w:r>
        <w:rPr>
          <w:rFonts w:eastAsia="Times New Roman"/>
          <w:color w:val="00000A"/>
          <w:sz w:val="24"/>
          <w:szCs w:val="24"/>
        </w:rPr>
        <w:t>развивается из остатков эпителия в носонебном канале.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/>
      </w:pPr>
      <w:r>
        <w:rPr/>
      </w:r>
    </w:p>
    <w:p>
      <w:pPr>
        <w:pStyle w:val="1"/>
        <w:rPr>
          <w:color w:val="000000"/>
        </w:rPr>
      </w:pPr>
      <w:bookmarkStart w:id="14" w:name="__RefHeading___Toc14534_2770555280"/>
      <w:bookmarkStart w:id="15" w:name="_Toc50366614"/>
      <w:bookmarkStart w:id="16" w:name="_8v07nmkevuw"/>
      <w:bookmarkEnd w:id="14"/>
      <w:bookmarkEnd w:id="16"/>
      <w:r>
        <w:rPr>
          <w:color w:val="000000"/>
        </w:rPr>
        <w:t>1. Краткая информация</w:t>
      </w:r>
      <w:bookmarkEnd w:id="15"/>
      <w:r>
        <w:rPr>
          <w:color w:val="000000"/>
        </w:rPr>
        <w:t xml:space="preserve"> по заболеванию или состоянию</w:t>
      </w:r>
    </w:p>
    <w:p>
      <w:pPr>
        <w:pStyle w:val="2"/>
        <w:ind w:hanging="0"/>
        <w:rPr/>
      </w:pPr>
      <w:bookmarkStart w:id="17" w:name="__RefHeading___Toc14536_2770555280"/>
      <w:bookmarkStart w:id="18" w:name="_Toc50366615"/>
      <w:bookmarkStart w:id="19" w:name="_1fob9te"/>
      <w:bookmarkEnd w:id="17"/>
      <w:bookmarkEnd w:id="19"/>
      <w:r>
        <w:rPr/>
        <w:t>1.1 Определение</w:t>
      </w:r>
      <w:bookmarkEnd w:id="18"/>
      <w:r>
        <w:rPr/>
        <w:t xml:space="preserve"> заболевания или состояния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0"/>
          <w:sz w:val="24"/>
          <w:szCs w:val="24"/>
          <w:highlight w:val="white"/>
        </w:rPr>
      </w:pPr>
      <w:r>
        <w:rPr>
          <w:rFonts w:eastAsia="Times New Roman"/>
          <w:b/>
          <w:color w:val="00000A"/>
          <w:sz w:val="24"/>
          <w:szCs w:val="24"/>
        </w:rPr>
        <w:t xml:space="preserve">Неодонтогенная киста - </w:t>
      </w:r>
      <w:r>
        <w:rPr>
          <w:rFonts w:eastAsia="Times New Roman"/>
          <w:color w:val="00000A"/>
          <w:sz w:val="24"/>
          <w:szCs w:val="24"/>
        </w:rPr>
        <w:t xml:space="preserve">киста, возникшая в результате порока развития челюстей. </w:t>
      </w:r>
      <w:r>
        <w:rPr>
          <w:rFonts w:eastAsia="Times New Roman"/>
          <w:sz w:val="24"/>
          <w:szCs w:val="24"/>
          <w:highlight w:val="white"/>
        </w:rPr>
        <w:t>[1]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b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 xml:space="preserve">Глобуломаксиллярная киста (киста верхнечелюстной пазухи) - </w:t>
      </w:r>
      <w:r>
        <w:rPr>
          <w:rFonts w:eastAsia="Times New Roman"/>
          <w:color w:val="00000A"/>
          <w:sz w:val="24"/>
          <w:szCs w:val="24"/>
        </w:rPr>
        <w:t xml:space="preserve">развивается в эмбриональном периоде при слиянии межчелюстной (резцовой) кости и альвеолярного отростка верхней челюсти, поэтому обычно располагается в области клыка или между 2-м резцом и клыком. </w:t>
      </w:r>
      <w:r>
        <w:rPr>
          <w:rFonts w:eastAsia="Times New Roman"/>
          <w:sz w:val="24"/>
          <w:szCs w:val="24"/>
          <w:highlight w:val="white"/>
        </w:rPr>
        <w:t>[1]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Средненебная киста (</w:t>
      </w:r>
      <w:r>
        <w:rPr>
          <w:rFonts w:eastAsia="Times New Roman"/>
          <w:color w:val="000000" w:themeColor="text1"/>
          <w:sz w:val="24"/>
          <w:szCs w:val="24"/>
        </w:rPr>
        <w:t>нёбные кисты новорожденных, жемчужины Эпштейна) - кисты, образующиеся из эпителиальных включений вдоль линии слияния нёбных пластинок (срединного небного шва). [6, 8]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 xml:space="preserve">Носонебная киста (киста резцового канала) - </w:t>
      </w:r>
      <w:r>
        <w:rPr>
          <w:rFonts w:eastAsia="Times New Roman"/>
          <w:color w:val="00000A"/>
          <w:sz w:val="24"/>
          <w:szCs w:val="24"/>
        </w:rPr>
        <w:t xml:space="preserve">развивается из остатков эпителия в носонебном канале. </w:t>
      </w:r>
      <w:r>
        <w:rPr>
          <w:rFonts w:eastAsia="Times New Roman"/>
          <w:sz w:val="24"/>
          <w:szCs w:val="24"/>
          <w:highlight w:val="white"/>
        </w:rPr>
        <w:t>[2]</w:t>
      </w:r>
    </w:p>
    <w:p>
      <w:pPr>
        <w:pStyle w:val="2"/>
        <w:ind w:hanging="0"/>
        <w:rPr/>
      </w:pPr>
      <w:r>
        <w:rPr/>
      </w:r>
      <w:bookmarkStart w:id="20" w:name="_3znysh7"/>
      <w:bookmarkStart w:id="21" w:name="_3znysh7"/>
      <w:bookmarkEnd w:id="21"/>
    </w:p>
    <w:p>
      <w:pPr>
        <w:pStyle w:val="2"/>
        <w:ind w:hanging="0"/>
        <w:rPr/>
      </w:pPr>
      <w:bookmarkStart w:id="22" w:name="__RefHeading___Toc14538_2770555280"/>
      <w:bookmarkStart w:id="23" w:name="_Toc50366616"/>
      <w:bookmarkEnd w:id="22"/>
      <w:r>
        <w:rPr/>
        <w:t>1.2 Этиология и патогенез</w:t>
      </w:r>
      <w:bookmarkEnd w:id="23"/>
      <w:r>
        <w:rPr/>
        <w:t xml:space="preserve"> заболевания или состояния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/>
      </w:pPr>
      <w:r>
        <w:rPr>
          <w:rFonts w:eastAsia="Times New Roman"/>
          <w:sz w:val="24"/>
          <w:szCs w:val="24"/>
        </w:rPr>
        <w:t>Неодонтогенная киста – заболевание врожденное. [1]</w:t>
      </w:r>
    </w:p>
    <w:p>
      <w:pPr>
        <w:pStyle w:val="2"/>
        <w:ind w:hanging="0"/>
        <w:rPr/>
      </w:pPr>
      <w:bookmarkStart w:id="24" w:name="__RefHeading___Toc14542_2770555280"/>
      <w:bookmarkStart w:id="25" w:name="_Toc50366617"/>
      <w:bookmarkEnd w:id="24"/>
      <w:r>
        <w:rPr/>
        <w:t xml:space="preserve">1.3 </w:t>
      </w:r>
      <w:bookmarkEnd w:id="25"/>
      <w:r>
        <w:rPr/>
        <w:t>Особенности кодирования заболевания или состояния по Международной статистической классификации болезней и проблем, связанных со здоровьем</w:t>
      </w:r>
    </w:p>
    <w:p>
      <w:pPr>
        <w:pStyle w:val="Normal"/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Международная классификация стоматологических болезней МКБ-10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К09.1 Ростовые (неодонтогенные кисты)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К09.10 Глобуломаксиллярная киста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К09.11 Средненебная киста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К09.12 Носонебная киста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К09.13 Небная сосочковая киста</w:t>
      </w:r>
    </w:p>
    <w:p>
      <w:pPr>
        <w:pStyle w:val="2"/>
        <w:ind w:hanging="0"/>
        <w:rPr/>
      </w:pPr>
      <w:bookmarkStart w:id="26" w:name="__RefHeading___Toc14544_2770555280"/>
      <w:bookmarkStart w:id="27" w:name="_Toc50366618"/>
      <w:bookmarkStart w:id="28" w:name="_1t3h5sf"/>
      <w:bookmarkEnd w:id="26"/>
      <w:bookmarkEnd w:id="28"/>
      <w:r>
        <w:rPr/>
        <w:t>1.4 Клиническая картина</w:t>
      </w:r>
      <w:bookmarkEnd w:id="27"/>
      <w:r>
        <w:rPr/>
        <w:t xml:space="preserve"> заболевания или состояния</w:t>
      </w:r>
    </w:p>
    <w:p>
      <w:pPr>
        <w:pStyle w:val="Normal"/>
        <w:spacing w:lineRule="auto" w:line="36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Глобуломаксиллярная киста расположена между корнями второго резца и клыка, обнаруживается случайно. Клинический проявляется в виде безболезненной небольшой ограниченной припухлости на вестибулярной поверхности альвеолярного отростка при наличии интактных соседних зубов. [2]</w:t>
      </w:r>
    </w:p>
    <w:p>
      <w:pPr>
        <w:pStyle w:val="Normal"/>
        <w:spacing w:lineRule="auto" w:line="360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При наличии жемчужин Эпштейна родители ребенка обращают внимание на образование округлой формы, небольшие (1-3 мм) желто-белые бугорки вдоль нёбного шва, особенно часто располагающиеся в месте соединения твердого и мягкого нёба. [6, 8]</w:t>
      </w:r>
    </w:p>
    <w:p>
      <w:pPr>
        <w:pStyle w:val="Normal"/>
        <w:spacing w:lineRule="auto" w:line="36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Носонебная киста располагается между центральными верхними зубами, определяется как безболезненное выбухание с четкими границами, пальпаторно отмечается зыбление, приводит к рассасыванию небной пластинки. </w:t>
      </w:r>
    </w:p>
    <w:p>
      <w:pPr>
        <w:pStyle w:val="Normal"/>
        <w:spacing w:lineRule="auto" w:line="36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Содержимое кисты представляет желтоватую жидкость с кристаллами холестерина. Микроскопически оболочка кисты выстлана эпителием, который на границе с полостью рта является многослойным плоским, а ближе к полости носа - мерцательным.  [2]</w:t>
      </w:r>
    </w:p>
    <w:p>
      <w:pPr>
        <w:pStyle w:val="1"/>
        <w:spacing w:before="200" w:after="0"/>
        <w:jc w:val="center"/>
        <w:rPr/>
      </w:pPr>
      <w:bookmarkStart w:id="29" w:name="__RefHeading___Toc14546_2770555280"/>
      <w:bookmarkStart w:id="30" w:name="_Toc50366619"/>
      <w:bookmarkEnd w:id="29"/>
      <w:r>
        <w:rPr/>
        <w:t>2. Диагностика</w:t>
      </w:r>
      <w:bookmarkEnd w:id="30"/>
      <w:r>
        <w:rPr/>
        <w:t xml:space="preserve">  заболевания или состояния, медицинские показания и противопоказания к применению методов диагностики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Главная задача при диагностике заключается в выявлении клинических признаков наличия кисты, определении степени распространенности кисты в челюсти и выбора соответствующего метода лечения. 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Диагностика средненебной кисты включает тщательный опрос родителей и осмотр ребенка.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Диагностика неодонтогенной кисты включает сбор анамнеза, клинический осмотр, дополнительные методы обследования.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Следует учитывать особенности диагностических мероприятий у детей: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708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различный уровень объективности получаемой при расспросе информации от ребенка и третьих лиц (родители по-разному интерпретируют жалобы и анамнез);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708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субъективность ощущений ребенка при проведении диагностических тестов;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708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различный уровень взаимодействия врача, пациента и родителей;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708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невозможность проведения сложных диагностических манипуляций из-за возрастных и психо - эмоциональных особенностей ребенка.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2"/>
        <w:ind w:hanging="0"/>
        <w:rPr/>
      </w:pPr>
      <w:bookmarkStart w:id="31" w:name="__RefHeading___Toc14548_2770555280"/>
      <w:bookmarkStart w:id="32" w:name="_Toc50366620"/>
      <w:bookmarkStart w:id="33" w:name="_2s8eyo1"/>
      <w:bookmarkEnd w:id="31"/>
      <w:bookmarkEnd w:id="33"/>
      <w:r>
        <w:rPr/>
        <w:t>2.1 Жалобы и анамнез</w:t>
      </w:r>
      <w:bookmarkEnd w:id="32"/>
    </w:p>
    <w:p>
      <w:pPr>
        <w:pStyle w:val="3"/>
        <w:spacing w:lineRule="auto" w:line="360" w:before="280" w:after="0"/>
        <w:jc w:val="both"/>
        <w:rPr/>
      </w:pPr>
      <w:bookmarkStart w:id="34" w:name="__RefHeading___Toc14550_2770555280"/>
      <w:bookmarkStart w:id="35" w:name="_Toc50366621"/>
      <w:bookmarkStart w:id="36" w:name="_ucp4c915sr91"/>
      <w:bookmarkEnd w:id="34"/>
      <w:bookmarkEnd w:id="36"/>
      <w:r>
        <w:rPr/>
        <w:t>2.1.1 При сборе анамнеза необходимо учитывать:</w:t>
      </w:r>
      <w:bookmarkEnd w:id="35"/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возраст ребенка;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сопутствующей патологии;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жалобы пациента;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давность и динамика заболевания;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травмы в прошлом и в настоящее время;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вредных привычек наличие соматических заболеваний и аллергических реакций, обязательно должна быть заполнена анкета о здоровье ребенка;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непереносимости лекарственных препаратов и материалов, используемых на данном этапе лечения;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и регулярность индивидуальной гигиены полости рта;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предыдущие обращения к стоматологу – как вел себя ребенок, как и в каком объеме проводилось лечение, применялось ли ранее местное обезболивание; 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или отсутствие ортодонтического лечения. [5]</w:t>
      </w:r>
    </w:p>
    <w:p>
      <w:pPr>
        <w:pStyle w:val="2"/>
        <w:ind w:hanging="0"/>
        <w:rPr/>
      </w:pPr>
      <w:bookmarkStart w:id="37" w:name="__RefHeading___Toc14552_2770555280"/>
      <w:bookmarkStart w:id="38" w:name="_Toc50366622"/>
      <w:bookmarkStart w:id="39" w:name="_17dp8vu"/>
      <w:bookmarkEnd w:id="37"/>
      <w:bookmarkEnd w:id="39"/>
      <w:r>
        <w:rPr/>
        <w:t>2.2 Физикальное обследование</w:t>
      </w:r>
      <w:bookmarkEnd w:id="38"/>
    </w:p>
    <w:p>
      <w:pPr>
        <w:pStyle w:val="Normal"/>
        <w:spacing w:lineRule="auto" w:line="36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При физикальном обследовании устанавливается </w:t>
      </w:r>
      <w:r>
        <w:rPr>
          <w:rFonts w:eastAsia="Times New Roman"/>
          <w:sz w:val="24"/>
          <w:szCs w:val="24"/>
        </w:rPr>
        <w:t>наличие припухлости, увеличение регионарных лимфатических узлов, выбухания кортикальной пластинки, подвижность зубов, изменения слизистой оболочки.</w:t>
      </w:r>
      <w:r>
        <w:rPr>
          <w:rFonts w:eastAsia="Times New Roman"/>
          <w:color w:val="000000"/>
          <w:sz w:val="24"/>
          <w:szCs w:val="24"/>
        </w:rPr>
        <w:t xml:space="preserve"> В зависимости от </w:t>
      </w:r>
      <w:r>
        <w:rPr>
          <w:rFonts w:eastAsia="Times New Roman"/>
          <w:sz w:val="24"/>
          <w:szCs w:val="24"/>
        </w:rPr>
        <w:t>клинической картины</w:t>
      </w:r>
      <w:r>
        <w:rPr>
          <w:rFonts w:eastAsia="Times New Roman"/>
          <w:color w:val="000000"/>
          <w:sz w:val="24"/>
          <w:szCs w:val="24"/>
        </w:rPr>
        <w:t xml:space="preserve"> выбирают метод лечения.</w:t>
      </w:r>
    </w:p>
    <w:p>
      <w:pPr>
        <w:pStyle w:val="Normal"/>
        <w:spacing w:lineRule="auto" w:line="36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>
        <w:rPr>
          <w:rFonts w:eastAsia="Times New Roman"/>
          <w:color w:val="000000"/>
          <w:sz w:val="24"/>
          <w:szCs w:val="24"/>
        </w:rPr>
        <w:t xml:space="preserve"> внешний осмотр</w:t>
      </w:r>
    </w:p>
    <w:p>
      <w:pPr>
        <w:pStyle w:val="Normal"/>
        <w:numPr>
          <w:ilvl w:val="0"/>
          <w:numId w:val="10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возможно нарушение конфигурации лица за счет врожденных заболеван</w:t>
      </w:r>
      <w:r>
        <w:rPr>
          <w:rFonts w:eastAsia="Times New Roman"/>
          <w:sz w:val="24"/>
          <w:szCs w:val="24"/>
        </w:rPr>
        <w:t>ий, сопутствующей общесоматической патологии, нарушении прикуса;</w:t>
      </w:r>
    </w:p>
    <w:p>
      <w:pPr>
        <w:pStyle w:val="Normal"/>
        <w:numPr>
          <w:ilvl w:val="0"/>
          <w:numId w:val="10"/>
        </w:numPr>
        <w:spacing w:lineRule="auto" w:line="360"/>
        <w:ind w:left="720" w:hanging="29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наличие травматического повреждения кожи, губ (ссадины, гематомы).</w:t>
      </w:r>
    </w:p>
    <w:p>
      <w:pPr>
        <w:pStyle w:val="Normal"/>
        <w:spacing w:lineRule="auto" w:line="36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2. внутриротовое обследование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осмотр слизистой оболочки </w:t>
      </w:r>
      <w:r>
        <w:rPr>
          <w:rFonts w:eastAsia="Times New Roman"/>
          <w:sz w:val="24"/>
          <w:szCs w:val="24"/>
        </w:rPr>
        <w:t>полости рта, языка, уздечки языка, дна полости рта (</w:t>
      </w:r>
      <w:r>
        <w:rPr>
          <w:rFonts w:eastAsia="Times New Roman"/>
          <w:color w:val="000000"/>
          <w:sz w:val="24"/>
          <w:szCs w:val="24"/>
        </w:rPr>
        <w:t xml:space="preserve">выявление </w:t>
      </w:r>
      <w:r>
        <w:rPr>
          <w:rFonts w:eastAsia="Times New Roman"/>
          <w:sz w:val="24"/>
          <w:szCs w:val="24"/>
        </w:rPr>
        <w:t>явлений воспалительных заболеваний слизистой оболочки полости рта);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изменение коронков</w:t>
      </w:r>
      <w:r>
        <w:rPr>
          <w:rFonts w:eastAsia="Times New Roman"/>
          <w:sz w:val="24"/>
          <w:szCs w:val="24"/>
        </w:rPr>
        <w:t>ых частей зубов  (</w:t>
      </w:r>
      <w:r>
        <w:rPr>
          <w:rFonts w:eastAsia="Times New Roman"/>
          <w:color w:val="000000"/>
          <w:sz w:val="24"/>
          <w:szCs w:val="24"/>
        </w:rPr>
        <w:t>изменение цвета зуба, наличие отлома коронки, трещины в твердых тканях, положение зуба в зубном ряду)</w:t>
      </w:r>
      <w:r>
        <w:rPr>
          <w:rFonts w:eastAsia="Times New Roman"/>
          <w:sz w:val="24"/>
          <w:szCs w:val="24"/>
        </w:rPr>
        <w:t>;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обнаружение и исследование кариозной полости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</w:rPr>
        <w:t>расположение, глубина, наличие сообщения с полостью зуба, болезненность при зондировании, наличие грануляционной ткани);</w:t>
      </w:r>
    </w:p>
    <w:p>
      <w:pPr>
        <w:pStyle w:val="Normal"/>
        <w:numPr>
          <w:ilvl w:val="0"/>
          <w:numId w:val="8"/>
        </w:numPr>
        <w:spacing w:lineRule="auto" w:line="36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оценка состояния всех имеющихся зубов</w:t>
      </w:r>
      <w:r>
        <w:rPr>
          <w:rFonts w:eastAsia="Times New Roman"/>
          <w:sz w:val="24"/>
          <w:szCs w:val="24"/>
        </w:rPr>
        <w:t xml:space="preserve"> (п</w:t>
      </w:r>
      <w:r>
        <w:rPr>
          <w:rFonts w:eastAsia="Times New Roman"/>
          <w:color w:val="000000"/>
          <w:sz w:val="24"/>
          <w:szCs w:val="24"/>
        </w:rPr>
        <w:t>ри осмотре зуба выявляется перелом коронки различной степени, изменение положения зуба в зубном ряду, что говорит о перенесенной травме).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Целенаправленно выявляют:</w:t>
      </w:r>
    </w:p>
    <w:p>
      <w:pPr>
        <w:pStyle w:val="Normal"/>
        <w:numPr>
          <w:ilvl w:val="0"/>
          <w:numId w:val="11"/>
        </w:numPr>
        <w:spacing w:lineRule="auto" w:line="360" w:before="0" w:after="0"/>
        <w:ind w:left="720" w:hanging="29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неадекватное психоэмоциональное состояние пациента перед лечением;</w:t>
      </w:r>
    </w:p>
    <w:p>
      <w:pPr>
        <w:pStyle w:val="Normal"/>
        <w:numPr>
          <w:ilvl w:val="0"/>
          <w:numId w:val="11"/>
        </w:numPr>
        <w:spacing w:lineRule="auto" w:line="360" w:before="0" w:after="0"/>
        <w:ind w:left="720" w:hanging="29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острые поражения слизистой оболочки рта и красной каймы губ;</w:t>
      </w:r>
    </w:p>
    <w:p>
      <w:pPr>
        <w:pStyle w:val="Normal"/>
        <w:numPr>
          <w:ilvl w:val="0"/>
          <w:numId w:val="11"/>
        </w:numPr>
        <w:spacing w:lineRule="auto" w:line="360" w:before="0" w:after="0"/>
        <w:ind w:left="720" w:hanging="29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острые воспалительные заболевания органов и тканей рта;</w:t>
      </w:r>
    </w:p>
    <w:p>
      <w:pPr>
        <w:pStyle w:val="Normal"/>
        <w:numPr>
          <w:ilvl w:val="0"/>
          <w:numId w:val="11"/>
        </w:numPr>
        <w:spacing w:lineRule="auto" w:line="360" w:before="0" w:after="0"/>
        <w:ind w:left="720" w:hanging="29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заболевания тканей пародонта в стадии обострения;</w:t>
      </w:r>
    </w:p>
    <w:p>
      <w:pPr>
        <w:pStyle w:val="Normal"/>
        <w:numPr>
          <w:ilvl w:val="0"/>
          <w:numId w:val="11"/>
        </w:numPr>
        <w:spacing w:lineRule="auto" w:line="360" w:before="0" w:after="0"/>
        <w:ind w:left="720" w:hanging="29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неудовлетворительное гигиеническое состояние рта;</w:t>
      </w:r>
    </w:p>
    <w:p>
      <w:pPr>
        <w:pStyle w:val="Normal"/>
        <w:numPr>
          <w:ilvl w:val="0"/>
          <w:numId w:val="11"/>
        </w:numPr>
        <w:spacing w:lineRule="auto" w:line="36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отказ от лечения.  [</w:t>
      </w:r>
      <w:r>
        <w:rPr>
          <w:rFonts w:eastAsia="Times New Roman"/>
          <w:sz w:val="24"/>
          <w:szCs w:val="24"/>
        </w:rPr>
        <w:t>5</w:t>
      </w:r>
      <w:r>
        <w:rPr>
          <w:rFonts w:eastAsia="Times New Roman"/>
          <w:color w:val="000000"/>
          <w:sz w:val="24"/>
          <w:szCs w:val="24"/>
        </w:rPr>
        <w:t xml:space="preserve">]  </w:t>
      </w:r>
    </w:p>
    <w:p>
      <w:pPr>
        <w:pStyle w:val="2"/>
        <w:ind w:hanging="0"/>
        <w:rPr/>
      </w:pPr>
      <w:bookmarkStart w:id="40" w:name="__RefHeading___Toc14554_2770555280"/>
      <w:bookmarkStart w:id="41" w:name="_Toc50366623"/>
      <w:bookmarkStart w:id="42" w:name="_3rdcrjn"/>
      <w:bookmarkEnd w:id="40"/>
      <w:bookmarkEnd w:id="42"/>
      <w:r>
        <w:rPr/>
        <w:t>2.3 Лабораторная диагности</w:t>
      </w:r>
      <w:bookmarkEnd w:id="41"/>
      <w:r>
        <w:rPr/>
        <w:t>ческие исследования</w:t>
      </w:r>
    </w:p>
    <w:p>
      <w:pPr>
        <w:pStyle w:val="Normal"/>
        <w:spacing w:lineRule="auto" w:line="360"/>
        <w:ind w:firstLine="70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После выявления неодонтогенных кист проводится цитологическое исследование пунктата. [1]</w:t>
      </w:r>
    </w:p>
    <w:p>
      <w:pPr>
        <w:pStyle w:val="2"/>
        <w:ind w:hanging="0"/>
        <w:rPr/>
      </w:pPr>
      <w:bookmarkStart w:id="43" w:name="__RefHeading___Toc14556_2770555280"/>
      <w:bookmarkStart w:id="44" w:name="_Toc50366624"/>
      <w:bookmarkStart w:id="45" w:name="_26in1rg"/>
      <w:bookmarkEnd w:id="43"/>
      <w:bookmarkEnd w:id="45"/>
      <w:r>
        <w:rPr/>
        <w:t>2.4 Инструментальная диагности</w:t>
      </w:r>
      <w:bookmarkEnd w:id="44"/>
      <w:r>
        <w:rPr/>
        <w:t>ческие исследования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выявления неодонтогенных кист используют:</w:t>
      </w:r>
    </w:p>
    <w:p>
      <w:pPr>
        <w:pStyle w:val="Normal"/>
        <w:numPr>
          <w:ilvl w:val="0"/>
          <w:numId w:val="19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прицельную рентгенографию;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Уровень убедительности B (уровень достоверности доказательств – 2)</w:t>
      </w:r>
    </w:p>
    <w:p>
      <w:pPr>
        <w:pStyle w:val="Normal"/>
        <w:numPr>
          <w:ilvl w:val="0"/>
          <w:numId w:val="19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боковую рентгенографию челюсти;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Уровень убедительности B (уровень достоверности доказательств – 2)</w:t>
      </w:r>
    </w:p>
    <w:p>
      <w:pPr>
        <w:pStyle w:val="Normal"/>
        <w:numPr>
          <w:ilvl w:val="0"/>
          <w:numId w:val="19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внутриротовой рентгенографию “на прикус”;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Уровень убедительности B (уровень достоверности доказательств – 2)</w:t>
      </w:r>
    </w:p>
    <w:p>
      <w:pPr>
        <w:pStyle w:val="Normal"/>
        <w:numPr>
          <w:ilvl w:val="0"/>
          <w:numId w:val="19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рентгенографию околоносовых пазух;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Уровень убедительности B (уровень достоверности доказательств – 2)</w:t>
      </w:r>
    </w:p>
    <w:p>
      <w:pPr>
        <w:pStyle w:val="Normal"/>
        <w:numPr>
          <w:ilvl w:val="0"/>
          <w:numId w:val="19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рентгенографию костей черепа в прямой проекции;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Уровень убедительности B (уровень достоверности доказательств – 2)</w:t>
      </w:r>
    </w:p>
    <w:p>
      <w:pPr>
        <w:pStyle w:val="Normal"/>
        <w:numPr>
          <w:ilvl w:val="0"/>
          <w:numId w:val="19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переднюю рентгенографию нижней челюсти;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Уровень убедительности B (уровень достоверности доказательств – 2)</w:t>
      </w:r>
    </w:p>
    <w:p>
      <w:pPr>
        <w:pStyle w:val="Normal"/>
        <w:numPr>
          <w:ilvl w:val="0"/>
          <w:numId w:val="19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ортопантомограмму;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0"/>
        <w:ind w:left="720" w:right="0" w:hanging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Уровень убедительности B (уровень достоверности доказательств – 2)</w:t>
      </w:r>
    </w:p>
    <w:p>
      <w:pPr>
        <w:pStyle w:val="Normal"/>
        <w:numPr>
          <w:ilvl w:val="0"/>
          <w:numId w:val="19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компьютерную томографию;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Уровень убедительности B (уровень достоверности доказательств – 2)</w:t>
      </w:r>
    </w:p>
    <w:p>
      <w:pPr>
        <w:pStyle w:val="Normal"/>
        <w:numPr>
          <w:ilvl w:val="0"/>
          <w:numId w:val="19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ЭОД. [1, 3, 5]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Уровень убедительности B (уровень достоверности доказательств – 2)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Носонебная киста на рентгенограмме выявляется в виде гомогенного просветления кости округлой или овальной формы, расположенной по средней линии неба между корнями центральных резцов с сохранением периодонтальной щели. При радикулярных кистах эта щель не прослеживается. [2]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Глобуломаксиллярная киста на рентгенограмме определяется разрежением кости с четкими границами, по форме напоминающее перевернутую грушу, располагается между верхним вторым резцом и клыком. Корни зубов раздвинуты, периодонтальная щель сохранена. Содержимое кисты представляет собой желтоватую опалесцирующую жидкость. Дифференцировать следует от радикулярной кисты, развившейся от второго резца и клыка. [2] </w:t>
      </w:r>
    </w:p>
    <w:p>
      <w:pPr>
        <w:pStyle w:val="2"/>
        <w:ind w:hanging="0"/>
        <w:rPr>
          <w:i/>
          <w:i/>
        </w:rPr>
      </w:pPr>
      <w:bookmarkStart w:id="46" w:name="__RefHeading___Toc14558_2770555280"/>
      <w:bookmarkStart w:id="47" w:name="_Toc50366625"/>
      <w:bookmarkStart w:id="48" w:name="_lnxbz9"/>
      <w:bookmarkEnd w:id="46"/>
      <w:bookmarkEnd w:id="48"/>
      <w:r>
        <w:rPr/>
        <w:t>2.5 Иная диагности</w:t>
      </w:r>
      <w:bookmarkEnd w:id="47"/>
      <w:r>
        <w:rPr/>
        <w:t>ческие исследования</w:t>
      </w:r>
    </w:p>
    <w:p>
      <w:pPr>
        <w:pStyle w:val="3"/>
        <w:spacing w:lineRule="auto" w:line="360"/>
        <w:jc w:val="both"/>
        <w:rPr/>
      </w:pPr>
      <w:bookmarkStart w:id="49" w:name="__RefHeading___Toc14560_2770555280"/>
      <w:bookmarkStart w:id="50" w:name="_Toc50366626"/>
      <w:bookmarkStart w:id="51" w:name="_bm23e4mu8bja"/>
      <w:bookmarkEnd w:id="49"/>
      <w:bookmarkEnd w:id="51"/>
      <w:r>
        <w:rPr/>
        <w:t>2.5.1. фото- и видеосъемка с помощью внутриротовой видеокамеры</w:t>
      </w:r>
      <w:bookmarkEnd w:id="50"/>
    </w:p>
    <w:p>
      <w:pPr>
        <w:pStyle w:val="Normal"/>
        <w:spacing w:lineRule="auto" w:line="360"/>
        <w:ind w:firstLine="70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Позволяет обнаружить, оценить патологические изменения слизистой оболочки полости рта, визуализировать результаты исследования на экране, обсудить их с пациентом и его представителями, произвести фотографирование непосредственно в полости рта</w:t>
      </w:r>
      <w:r>
        <w:rPr>
          <w:rFonts w:eastAsia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Уровень убедительности B (уровень достоверности доказательств – 2)</w:t>
      </w:r>
    </w:p>
    <w:p>
      <w:pPr>
        <w:pStyle w:val="1"/>
        <w:keepLines/>
        <w:jc w:val="center"/>
        <w:rPr>
          <w:sz w:val="28"/>
          <w:szCs w:val="28"/>
        </w:rPr>
      </w:pPr>
      <w:bookmarkStart w:id="52" w:name="__RefHeading___Toc14562_2770555280"/>
      <w:bookmarkStart w:id="53" w:name="_Toc50366627"/>
      <w:bookmarkStart w:id="54" w:name="_35nkun2"/>
      <w:bookmarkEnd w:id="52"/>
      <w:bookmarkEnd w:id="54"/>
      <w:r>
        <w:rPr>
          <w:sz w:val="28"/>
          <w:szCs w:val="28"/>
        </w:rPr>
        <w:t>3. Лечение</w:t>
      </w:r>
      <w:bookmarkEnd w:id="53"/>
      <w:r>
        <w:rPr>
          <w:sz w:val="28"/>
          <w:szCs w:val="28"/>
        </w:rPr>
        <w:t>, включая медикаментозную и не медикаментозную терапии, диетотерапию, обезболивание, медицинские показания и противопоказания к применению методов лечения</w:t>
      </w:r>
    </w:p>
    <w:p>
      <w:pPr>
        <w:pStyle w:val="2"/>
        <w:rPr/>
      </w:pPr>
      <w:bookmarkStart w:id="55" w:name="__RefHeading___Toc14564_2770555280"/>
      <w:bookmarkStart w:id="56" w:name="_Toc50366628"/>
      <w:bookmarkStart w:id="57" w:name="_1ksv4uv"/>
      <w:bookmarkEnd w:id="55"/>
      <w:bookmarkEnd w:id="57"/>
      <w:r>
        <w:rPr/>
        <w:t>3.1 Консервативное лечение</w:t>
      </w:r>
      <w:bookmarkEnd w:id="56"/>
    </w:p>
    <w:p>
      <w:pPr>
        <w:pStyle w:val="Normal"/>
        <w:shd w:val="clear" w:color="auto" w:fill="FFFFFF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наличии средненебной кисты у новорожденного рекомендовано наблюдение за образованием, самостоятельная резорбция кисты происходит до 3 месяцев жизни ребенка.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Консервативные методы лечения при других неодонтогенных кистах не предусмотрены.[1, 3, 8, </w:t>
      </w:r>
      <w:r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]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Уровень убедительности B (уровень достоверности доказательств – 2)</w:t>
      </w:r>
    </w:p>
    <w:p>
      <w:pPr>
        <w:pStyle w:val="2"/>
        <w:ind w:hanging="0"/>
        <w:rPr/>
      </w:pPr>
      <w:bookmarkStart w:id="58" w:name="__RefHeading___Toc14566_2770555280"/>
      <w:bookmarkStart w:id="59" w:name="_Toc50366630"/>
      <w:bookmarkStart w:id="60" w:name="_44sinio"/>
      <w:bookmarkEnd w:id="58"/>
      <w:bookmarkEnd w:id="60"/>
      <w:r>
        <w:rPr/>
        <w:t>3.2 Хирургическое лечение</w:t>
      </w:r>
      <w:bookmarkEnd w:id="59"/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Существует один вид хирургического лечения:</w:t>
      </w:r>
    </w:p>
    <w:p>
      <w:pPr>
        <w:pStyle w:val="Normal"/>
        <w:numPr>
          <w:ilvl w:val="0"/>
          <w:numId w:val="14"/>
        </w:numPr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цистэктомия [1, 3]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Уровень убедительности B (уровень достоверности доказательств – 2)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Комментарии.</w:t>
      </w:r>
    </w:p>
    <w:p>
      <w:pPr>
        <w:pStyle w:val="3"/>
        <w:spacing w:lineRule="auto" w:line="360"/>
        <w:jc w:val="both"/>
        <w:rPr/>
      </w:pPr>
      <w:bookmarkStart w:id="61" w:name="__RefHeading___Toc14568_2770555280"/>
      <w:bookmarkStart w:id="62" w:name="_Toc50366631"/>
      <w:bookmarkStart w:id="63" w:name="_5gqj20cvi488"/>
      <w:bookmarkEnd w:id="61"/>
      <w:bookmarkEnd w:id="63"/>
      <w:r>
        <w:rPr/>
        <w:t>3.2.1. Алгоритм и особенности проведения хирургического вмешательства</w:t>
      </w:r>
      <w:bookmarkEnd w:id="62"/>
    </w:p>
    <w:p>
      <w:pPr>
        <w:pStyle w:val="Normal"/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Перед проведением вмешательства проводится анестезия (аппликационная, инфильтрационная, проводниковая). Перед проведением инфильтрационной анестезии место вкола иглы обрабатывается аппликационным анестетиком.</w:t>
      </w:r>
    </w:p>
    <w:p>
      <w:pPr>
        <w:pStyle w:val="Normal"/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Особенности применения анестезии у детей: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используются анестетики с низким содержанием вазоконстриктора или без вазоконстриктора.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перед проведением инъекции желательно применение средств для аппликационной анестезии в виде гелей.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если местная анестезия проводится впервые необходимо дать  понятные объяснения ребенку по поводу будущих ощущений (что онемение тканей будет временным и не представляет для него опасности), так как дети часто пугаются непривычных ощущений.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необходимо дать рекомендации родителям по поведению проведения анестезии для предотвращения травматических повреждений слизистой оболочки полости рта.</w:t>
      </w:r>
    </w:p>
    <w:p>
      <w:pPr>
        <w:pStyle w:val="Normal"/>
        <w:numPr>
          <w:ilvl w:val="0"/>
          <w:numId w:val="14"/>
        </w:numPr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цистэктомия - удаление всей эпителиально - соединительной выстилки (оболочки кисты) костной полости. Операция завершается сближением краев раны слизистой оболочки альвеолярного отростка (закрытый способ ведения костной раны) либо костную полость заполняют тампоном (открытый способ) [1, 2, 3]</w:t>
      </w:r>
    </w:p>
    <w:p>
      <w:pPr>
        <w:pStyle w:val="3"/>
        <w:spacing w:lineRule="auto" w:line="360"/>
        <w:jc w:val="both"/>
        <w:rPr/>
      </w:pPr>
      <w:bookmarkStart w:id="64" w:name="__RefHeading___Toc14570_2770555280"/>
      <w:bookmarkStart w:id="65" w:name="_Toc50366632"/>
      <w:bookmarkStart w:id="66" w:name="_qpcz2p493lkh"/>
      <w:bookmarkEnd w:id="64"/>
      <w:bookmarkEnd w:id="66"/>
      <w:r>
        <w:rPr/>
        <w:t>3.2.2. Осложнения во время операции и послеоперационном периоде</w:t>
      </w:r>
      <w:bookmarkEnd w:id="65"/>
    </w:p>
    <w:p>
      <w:pPr>
        <w:pStyle w:val="Normal"/>
        <w:numPr>
          <w:ilvl w:val="0"/>
          <w:numId w:val="18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возникновение кровотечения из нижней альвеолярной артерии;</w:t>
      </w:r>
    </w:p>
    <w:p>
      <w:pPr>
        <w:pStyle w:val="Normal"/>
        <w:numPr>
          <w:ilvl w:val="0"/>
          <w:numId w:val="18"/>
        </w:numPr>
        <w:spacing w:lineRule="auto" w:line="360" w:before="0" w:after="0"/>
        <w:ind w:left="720" w:hanging="294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повреждение нижнего альвеолярного нерва и, как следствие, возникновении парестезии в послеоперационном периоде;</w:t>
      </w:r>
    </w:p>
    <w:p>
      <w:pPr>
        <w:pStyle w:val="Normal"/>
        <w:numPr>
          <w:ilvl w:val="0"/>
          <w:numId w:val="18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проведении операции на верхней челюсти - перфорация дна гайморовой пазухи;</w:t>
      </w:r>
    </w:p>
    <w:p>
      <w:pPr>
        <w:pStyle w:val="Normal"/>
        <w:numPr>
          <w:ilvl w:val="0"/>
          <w:numId w:val="18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перелом инструмента [7].</w:t>
      </w:r>
    </w:p>
    <w:p>
      <w:pPr>
        <w:pStyle w:val="1"/>
        <w:spacing w:before="0" w:after="0"/>
        <w:jc w:val="center"/>
        <w:rPr/>
      </w:pPr>
      <w:bookmarkStart w:id="67" w:name="__RefHeading___Toc14572_2770555280"/>
      <w:bookmarkStart w:id="68" w:name="_Toc50366633"/>
      <w:bookmarkStart w:id="69" w:name="_jdq0cj1b3qpe"/>
      <w:bookmarkEnd w:id="67"/>
      <w:bookmarkEnd w:id="69"/>
      <w:r>
        <w:rPr/>
        <w:t xml:space="preserve">4. </w:t>
      </w:r>
      <w:bookmarkEnd w:id="68"/>
      <w:r>
        <w:rPr/>
        <w:t>Медицинская реабилитация, медицинские показания и противопоказания к применению методов реабилитации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После проведения хирургического лечения необходимо: </w:t>
      </w:r>
    </w:p>
    <w:p>
      <w:pPr>
        <w:pStyle w:val="Normal"/>
        <w:numPr>
          <w:ilvl w:val="0"/>
          <w:numId w:val="13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 вмешательства ребенку рекомендуется сразу приложить холод на кожные покровы в проекции послеоперационной области;</w:t>
      </w:r>
    </w:p>
    <w:p>
      <w:pPr>
        <w:pStyle w:val="Normal"/>
        <w:numPr>
          <w:ilvl w:val="0"/>
          <w:numId w:val="13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операция проходила в амбулаторных условиях детям дают обезболивающее и просят соблюдать охранительный режим в первые сутки после операции. Следует избегать физических нагрузок в первую неделю после операции;</w:t>
      </w:r>
    </w:p>
    <w:p>
      <w:pPr>
        <w:pStyle w:val="Normal"/>
        <w:numPr>
          <w:ilvl w:val="0"/>
          <w:numId w:val="13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детям и родителям разъясняют правила и режим антисептической обработки послеоперационной области и способы проведения гигиенических процедур полости рта;</w:t>
      </w:r>
    </w:p>
    <w:p>
      <w:pPr>
        <w:pStyle w:val="Normal"/>
        <w:numPr>
          <w:ilvl w:val="0"/>
          <w:numId w:val="13"/>
        </w:numPr>
        <w:spacing w:lineRule="auto" w:line="360" w:before="0" w:after="28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назначается повторный осмотр через 7 дней. [3, 4]</w:t>
      </w:r>
    </w:p>
    <w:p>
      <w:pPr>
        <w:pStyle w:val="Normal"/>
        <w:spacing w:lineRule="auto" w:line="360" w:before="0" w:after="0"/>
        <w:ind w:hanging="0"/>
        <w:jc w:val="both"/>
        <w:rPr>
          <w:rFonts w:eastAsia="Times New Roman"/>
          <w:b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Уровень убедительности B (уровень достоверности доказательств – 2)</w:t>
      </w:r>
    </w:p>
    <w:p>
      <w:pPr>
        <w:pStyle w:val="1"/>
        <w:keepLines/>
        <w:jc w:val="center"/>
        <w:rPr/>
      </w:pPr>
      <w:bookmarkStart w:id="70" w:name="__RefHeading___Toc14574_2770555280"/>
      <w:bookmarkStart w:id="71" w:name="_Toc50366634"/>
      <w:bookmarkStart w:id="72" w:name="_3j2qqm3"/>
      <w:bookmarkEnd w:id="70"/>
      <w:bookmarkEnd w:id="72"/>
      <w:r>
        <w:rPr/>
        <w:t>5. Профилактика и диспансерное наблюдение</w:t>
      </w:r>
      <w:bookmarkEnd w:id="71"/>
      <w:r>
        <w:rPr/>
        <w:t>, медицинские показания и противопоказания  к применению методов профилактики</w:t>
      </w:r>
    </w:p>
    <w:p>
      <w:pPr>
        <w:pStyle w:val="2"/>
        <w:rPr/>
      </w:pPr>
      <w:bookmarkStart w:id="73" w:name="__RefHeading___Toc14576_2770555280"/>
      <w:bookmarkStart w:id="74" w:name="_Toc50366635"/>
      <w:bookmarkStart w:id="75" w:name="_30d20x5tjhr0"/>
      <w:bookmarkEnd w:id="73"/>
      <w:bookmarkEnd w:id="75"/>
      <w:r>
        <w:rPr/>
        <w:t>5.1  Профилактика</w:t>
      </w:r>
      <w:bookmarkEnd w:id="74"/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Исходя из современных представлений о возникновении и диагностики неодонтогенных кист, профилактика должна осуществляться по нескольким направлениям: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0" w:leader="none"/>
        </w:tabs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исключение патологических экзогенных и эндогенных факторов, влияющих на женщину во время беременности;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0" w:leader="none"/>
        </w:tabs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своевременная диагностика кист врачами - стоматологами при проведении плановых профилактических осмотров;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0" w:leader="none"/>
        </w:tabs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врачом стоматологом - терапевтом консультации врача стоматолога - хирурга для детей с подозрением на наличие кист;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0" w:leader="none"/>
        </w:tabs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выявление врачами стоматологами - терапевтами детей с патологией ЗЧС и ЗЧА и направление их на консультацию к врачу ортодонту;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0" w:leader="none"/>
        </w:tabs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необходимости, организация врачом стоматологом - терапевтом совместной консультации пациента несколькими специалистами (врачом челюстно - лицевым хирургом, врачом стоматологом - хирургом, врачом ортодонтом). [4, 5]  </w:t>
      </w:r>
    </w:p>
    <w:p>
      <w:pPr>
        <w:pStyle w:val="2"/>
        <w:spacing w:before="0" w:after="0"/>
        <w:rPr/>
      </w:pPr>
      <w:bookmarkStart w:id="76" w:name="__RefHeading___Toc14578_2770555280"/>
      <w:bookmarkStart w:id="77" w:name="_Toc50366636"/>
      <w:bookmarkStart w:id="78" w:name="_vjhbgi74w0cn"/>
      <w:bookmarkEnd w:id="76"/>
      <w:bookmarkEnd w:id="78"/>
      <w:r>
        <w:rPr/>
        <w:t>5.2  Диспансеризация</w:t>
      </w:r>
      <w:bookmarkEnd w:id="77"/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Дети с десневыми кистами нуждаются в диспансерном наблюдении только при изменении размера или цвета образования.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Дети с фолликулярными кистами должны быть поставлены на диспансерный учет и осмотр их должен осуществляться на каждом этапе лечения и восстановления и 1 раз в год в послеоперационном периоде. [4, 5]</w:t>
      </w:r>
    </w:p>
    <w:p>
      <w:pPr>
        <w:pStyle w:val="Normal"/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Уровень убедительности В (уровень достоверности доказательств – 2)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1"/>
        <w:keepLines/>
        <w:jc w:val="center"/>
        <w:rPr/>
      </w:pPr>
      <w:bookmarkStart w:id="79" w:name="__RefHeading___Toc14580_2770555280"/>
      <w:bookmarkStart w:id="80" w:name="_1y810tw"/>
      <w:bookmarkEnd w:id="79"/>
      <w:bookmarkEnd w:id="80"/>
      <w:r>
        <w:rPr/>
        <w:t>6. Организация оказания медицинской помощи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Показания для плановой госпитализации в медицинскую организацию: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малый размер кисты;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воспалительного процесса;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необходимость дополнительного обследования ребенка.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708" w:hanging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Показания для экстренной госпитализации в медицинскую организацию:</w:t>
      </w:r>
    </w:p>
    <w:p>
      <w:pPr>
        <w:pStyle w:val="Normal"/>
        <w:numPr>
          <w:ilvl w:val="0"/>
          <w:numId w:val="17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большой размер кисты;</w:t>
      </w:r>
    </w:p>
    <w:p>
      <w:pPr>
        <w:pStyle w:val="Normal"/>
        <w:numPr>
          <w:ilvl w:val="0"/>
          <w:numId w:val="17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угроза перелома челюсти;</w:t>
      </w:r>
    </w:p>
    <w:p>
      <w:pPr>
        <w:pStyle w:val="Normal"/>
        <w:numPr>
          <w:ilvl w:val="0"/>
          <w:numId w:val="17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острый воспалительный процесс;</w:t>
      </w:r>
    </w:p>
    <w:p>
      <w:pPr>
        <w:pStyle w:val="Normal"/>
        <w:numPr>
          <w:ilvl w:val="0"/>
          <w:numId w:val="17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состояния, угрожающие жизни ребенка.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Показания к выписке пациента из медицинской организации: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отсутствие воспалительных процессов;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удовлетворительное состояние и самочувствие ребенка;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эпителизация послеоперационной раны;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осложнений.</w:t>
      </w:r>
    </w:p>
    <w:p>
      <w:pPr>
        <w:pStyle w:val="1"/>
        <w:jc w:val="center"/>
        <w:rPr/>
      </w:pPr>
      <w:bookmarkStart w:id="81" w:name="__RefHeading___Toc14582_2770555280"/>
      <w:bookmarkStart w:id="82" w:name="_Toc50366637"/>
      <w:bookmarkEnd w:id="81"/>
      <w:r>
        <w:rPr/>
        <w:t>7. Дополнительная информация</w:t>
      </w:r>
      <w:bookmarkEnd w:id="82"/>
      <w:r>
        <w:rPr/>
        <w:t xml:space="preserve"> (в том числе факторы, влияющая на  исход заболевания или состояния)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Требования к режиму труда, отдыха, лечения и реабилитации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Детям после проведения операции по поводу удаления неодонтогенных кист рекомендуется первые 2 часа после хирургического вмешательства не полоскать полость рта, не есть, далее в течение дня не употреблять горячую пищу во избежание появления болевых ощущений, а также не выполнять тяжелые физические упражнения. Начиная со второго дня после операции следует проводить обработку послеоперационной области антисептическими растворами после еды, 3 раза в день. Через 7 дней необходимо явиться на перевязку и осмотр к оперирующему врачу. План дальнейших перевязок и осмотров врач определяет индивидуально для каждого пациента.  Далее,  при необходимости, ребенок направляется на консультацию к врачу-ортодонту для определения показаний к восстановлению и/или исправлению имеющейся ЗЧА. Рекомендуется посещать врача стоматолога 2 раза в год.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 проведенного вмешательства в первые сутки рекомендуется ребенку соблюдать охранительный режим и есть мороженое. Родители ребенка должны быть предупреждены о необходимости немедленного обращения при появлении признаков воспалительного процесса. [4, 5]</w:t>
      </w:r>
      <w:bookmarkStart w:id="83" w:name="_Toc50366638"/>
      <w:bookmarkEnd w:id="83"/>
    </w:p>
    <w:p>
      <w:pPr>
        <w:pStyle w:val="1"/>
        <w:jc w:val="center"/>
        <w:rPr/>
      </w:pPr>
      <w:bookmarkStart w:id="84" w:name="__RefHeading___Toc14584_2770555280"/>
      <w:bookmarkStart w:id="85" w:name="_Toc50366639"/>
      <w:bookmarkStart w:id="86" w:name="_k4atswknwkvl"/>
      <w:bookmarkEnd w:id="84"/>
      <w:bookmarkEnd w:id="86"/>
      <w:r>
        <w:rPr/>
        <w:t>Критерии оценки качества медицинской помощи</w:t>
      </w:r>
      <w:bookmarkEnd w:id="85"/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Группа заболеваний или состояний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Ростовые, кисты полости рта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Код/коды по МКБ-10 К09.1, К09.10, К09.11, К09.12, К09.13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Формы, виды и условия оказания медицинской помощи: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обращение в поликлинику с целью консультации;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плановое лечение в поликлинике;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лечение в условиях стационара под общим обезболиванием.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tbl>
      <w:tblPr>
        <w:tblStyle w:val="a5"/>
        <w:tblW w:w="9825" w:type="dxa"/>
        <w:jc w:val="left"/>
        <w:tblInd w:w="-102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65"/>
        <w:gridCol w:w="5250"/>
        <w:gridCol w:w="1860"/>
        <w:gridCol w:w="1949"/>
      </w:tblGrid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качества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Уровень достоверности доказательств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Уровень убедительности рекомендаций</w:t>
            </w:r>
          </w:p>
        </w:tc>
      </w:tr>
      <w:tr>
        <w:trPr>
          <w:trHeight w:val="1200" w:hRule="atLeast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360" w:before="0" w:after="20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1.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360" w:before="0" w:after="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Событийные (смысловые, содержательные, процессуальные) критерии качества </w:t>
            </w:r>
          </w:p>
        </w:tc>
        <w:tc>
          <w:tcPr>
            <w:tcW w:w="3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b/>
                <w:b/>
                <w:sz w:val="24"/>
                <w:szCs w:val="24"/>
                <w:shd w:fill="D9D9D9" w:val="clear"/>
              </w:rPr>
            </w:pPr>
            <w:r>
              <w:rPr>
                <w:rFonts w:eastAsia="Times New Roman"/>
                <w:b/>
                <w:sz w:val="24"/>
                <w:szCs w:val="24"/>
                <w:shd w:fill="D9D9D9" w:val="clear"/>
              </w:rPr>
              <w:t xml:space="preserve"> 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>Проводилось ли при постановке диагноза</w:t>
            </w:r>
            <w:r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  <w:tc>
          <w:tcPr>
            <w:tcW w:w="3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  <w:shd w:fill="D9D9D9" w:val="clear"/>
              </w:rPr>
            </w:pPr>
            <w:r>
              <w:rPr>
                <w:rFonts w:eastAsia="Times New Roman"/>
                <w:sz w:val="24"/>
                <w:szCs w:val="24"/>
                <w:shd w:fill="D9D9D9" w:val="clear"/>
              </w:rPr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1.1.1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сбор анамнеза, выявление причинных факторов заболевания 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1.1.2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75" w:leader="none"/>
                <w:tab w:val="left" w:pos="459" w:leader="none"/>
              </w:tabs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внешний осмотр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1.1.3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осмотр полости рта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1.1.4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подвижности зубов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1.1.5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75" w:leader="none"/>
                <w:tab w:val="left" w:pos="459" w:leader="none"/>
              </w:tabs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рентгенологическое обследование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>Проводилось ли в ходе лечебных мероприятий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1.2.1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местное или общее обезболивание  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1.2.2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вскрытие полости кисты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1.2.3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удаление оболочки кисты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1.2.4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мобилизация краев раны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1.2.5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накладывание швов или тампонада йодоформным тампоном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1.2.6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гемостаз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1.2.7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повторного приема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2.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Временные критерии качества</w:t>
            </w:r>
          </w:p>
        </w:tc>
        <w:tc>
          <w:tcPr>
            <w:tcW w:w="3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280" w:hRule="atLeast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Устранение  кисты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>
          <w:trHeight w:val="280" w:hRule="atLeast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Сохранность целостности сосудов и нервов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контрольного осмотра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Введение лекарственных препаратов, обладающих анальгезирующим эффектом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Повторные перевязки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рекомендаций о необходимости работы с  ортодонтом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3.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Результативные критерии качества</w:t>
            </w:r>
          </w:p>
        </w:tc>
        <w:tc>
          <w:tcPr>
            <w:tcW w:w="3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Восстановление костной ткани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Устранение воспалительных процессов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Устранение патологических переломов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рекомендаций о необходимости  профилактического осмотра   2 раза в год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4.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Дополнительные критерии</w:t>
            </w:r>
          </w:p>
        </w:tc>
        <w:tc>
          <w:tcPr>
            <w:tcW w:w="3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и полнота заполнения медицинской документации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Отсутствие осложнений после проведения местной анестезии 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послеоперационного отека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послеоперационных осложнений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послеоперационного рубца, либо его минимальный размер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4.6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рекомендаций о способах устранения ЗЧА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</w:tbl>
    <w:p>
      <w:pPr>
        <w:pStyle w:val="Normal"/>
        <w:keepNext w:val="true"/>
        <w:keepLines/>
        <w:spacing w:lineRule="auto" w:line="360" w:before="0" w:after="0"/>
        <w:jc w:val="both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1"/>
        <w:keepLines/>
        <w:rPr/>
      </w:pPr>
      <w:bookmarkStart w:id="87" w:name="__RefHeading___Toc14586_2770555280"/>
      <w:bookmarkStart w:id="88" w:name="_Toc50366640"/>
      <w:bookmarkStart w:id="89" w:name="_4r203soo6k2j"/>
      <w:bookmarkEnd w:id="87"/>
      <w:bookmarkEnd w:id="89"/>
      <w:r>
        <w:rPr/>
        <w:t>Список литературы</w:t>
      </w:r>
      <w:bookmarkEnd w:id="88"/>
    </w:p>
    <w:p>
      <w:pPr>
        <w:pStyle w:val="Normal"/>
        <w:numPr>
          <w:ilvl w:val="0"/>
          <w:numId w:val="9"/>
        </w:numPr>
        <w:spacing w:lineRule="auto" w:line="360" w:before="120" w:after="0"/>
        <w:ind w:left="0" w:hanging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Колесов А. А., Воробьев Ю. И., Каспарова Н. Н. Новообразования мягких тканей и костей лица у детей и подростков. - М.: Медицина, 1989; 304 с.</w:t>
      </w:r>
    </w:p>
    <w:p>
      <w:pPr>
        <w:pStyle w:val="Normal"/>
        <w:numPr>
          <w:ilvl w:val="0"/>
          <w:numId w:val="9"/>
        </w:numPr>
        <w:spacing w:lineRule="auto" w:line="360" w:before="120" w:after="0"/>
        <w:ind w:left="0" w:hanging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Афанасьев В. В. Хирургическая стоматология: учебник - М. ГЭОТАР-Медиа, 2011; 880 с.</w:t>
      </w:r>
    </w:p>
    <w:p>
      <w:pPr>
        <w:pStyle w:val="Normal"/>
        <w:numPr>
          <w:ilvl w:val="0"/>
          <w:numId w:val="9"/>
        </w:numPr>
        <w:spacing w:lineRule="auto" w:line="360" w:before="120" w:after="0"/>
        <w:ind w:left="0" w:hanging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Корсак А. К.Поликлиническая и госпитальная детская хирургическая стоматология. - Минск:Вышэйшая школа, 2016; 526 с.</w:t>
      </w:r>
    </w:p>
    <w:p>
      <w:pPr>
        <w:pStyle w:val="Normal"/>
        <w:numPr>
          <w:ilvl w:val="0"/>
          <w:numId w:val="9"/>
        </w:numPr>
        <w:spacing w:lineRule="auto" w:line="360" w:before="120" w:after="0"/>
        <w:ind w:left="0" w:hanging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Персин Л.С., Елизарова В.М., Дьякова С.В. Стоматология детского возраста. - М.: Медицина, 2003; 639 с.</w:t>
      </w:r>
    </w:p>
    <w:p>
      <w:pPr>
        <w:pStyle w:val="Normal"/>
        <w:numPr>
          <w:ilvl w:val="0"/>
          <w:numId w:val="9"/>
        </w:numPr>
        <w:spacing w:lineRule="auto" w:line="360" w:before="120" w:after="0"/>
        <w:ind w:left="0" w:hanging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Янушевич О. О., Кисельникова Л. П., Топольницкий О. З. Детская стоматология: учебник – М.:ГЭОТАР-Медиа, 2017; с.538 - 544.</w:t>
      </w:r>
    </w:p>
    <w:p>
      <w:pPr>
        <w:pStyle w:val="Normal"/>
        <w:numPr>
          <w:ilvl w:val="0"/>
          <w:numId w:val="9"/>
        </w:numPr>
        <w:spacing w:lineRule="auto" w:line="360" w:before="120" w:after="0"/>
        <w:ind w:left="0" w:hanging="0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Секции СтАР «Ассоциация челюстно - лицевых хирургов и хирургов - стоматологов» Клинический протокол медицинской помощи при кистах челюстей - Москва 2014; 41 с.</w:t>
      </w:r>
      <w:bookmarkStart w:id="90" w:name="_GoBack"/>
      <w:bookmarkEnd w:id="90"/>
    </w:p>
    <w:p>
      <w:pPr>
        <w:pStyle w:val="Normal"/>
        <w:numPr>
          <w:ilvl w:val="0"/>
          <w:numId w:val="9"/>
        </w:numPr>
        <w:spacing w:lineRule="auto" w:line="360" w:before="120" w:after="0"/>
        <w:ind w:left="0" w:hanging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Соловьев М. М., Семенов Г. М., Галецкий Д. В. Оперативное лечение одонтогенных кист: руководство для врачей - С - П.: СпецЛит, 2004; 129 с.</w:t>
      </w:r>
    </w:p>
    <w:p>
      <w:pPr>
        <w:pStyle w:val="Normal"/>
        <w:numPr>
          <w:ilvl w:val="0"/>
          <w:numId w:val="9"/>
        </w:numPr>
        <w:spacing w:lineRule="auto" w:line="360" w:before="120" w:after="0"/>
        <w:ind w:left="0" w:hanging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Мак — Дональд Р., Эйвери Д. Стоматология детей и подростков. - М.: Медицинское информационное агенство, 2003; 766 с.</w:t>
      </w:r>
    </w:p>
    <w:p>
      <w:pPr>
        <w:pStyle w:val="Normal"/>
        <w:numPr>
          <w:ilvl w:val="0"/>
          <w:numId w:val="9"/>
        </w:numPr>
        <w:spacing w:lineRule="auto" w:line="360" w:before="120" w:after="0"/>
        <w:ind w:left="0" w:hanging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</w:rPr>
        <w:t>амерон А., Уидмера Р. Справочник по детской стоматологии - М.: МЕДпресс - информ, 2003; с. 239 - 245.</w:t>
      </w:r>
    </w:p>
    <w:p>
      <w:pPr>
        <w:pStyle w:val="1"/>
        <w:keepLines/>
        <w:rPr/>
      </w:pPr>
      <w:r>
        <w:rPr/>
      </w:r>
      <w:bookmarkStart w:id="91" w:name="_x6i2m288s8tq"/>
      <w:bookmarkStart w:id="92" w:name="_x6i2m288s8tq"/>
      <w:bookmarkEnd w:id="92"/>
    </w:p>
    <w:p>
      <w:pPr>
        <w:pStyle w:val="1"/>
        <w:keepLines/>
        <w:rPr/>
      </w:pPr>
      <w:bookmarkStart w:id="93" w:name="__RefHeading___Toc14588_2770555280"/>
      <w:bookmarkStart w:id="94" w:name="_Toc50366641"/>
      <w:bookmarkStart w:id="95" w:name="_mqar0cf6izk2"/>
      <w:bookmarkEnd w:id="93"/>
      <w:bookmarkEnd w:id="95"/>
      <w:r>
        <w:rPr/>
        <w:t>Приложение А1. Состав рабочей группы</w:t>
      </w:r>
      <w:bookmarkEnd w:id="94"/>
      <w:r>
        <w:rPr/>
        <w:t xml:space="preserve"> по разработке и пересмотру клинических рекомендаций</w:t>
      </w:r>
    </w:p>
    <w:p>
      <w:pPr>
        <w:pStyle w:val="Normal"/>
        <w:spacing w:lineRule="auto" w:line="360"/>
        <w:jc w:val="both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Першина Александра Николаевна - </w:t>
      </w:r>
      <w:r>
        <w:rPr>
          <w:rFonts w:eastAsia="Times New Roman"/>
          <w:sz w:val="24"/>
          <w:szCs w:val="24"/>
        </w:rPr>
        <w:t>штатный врач отделения хирургической стоматологии (детского), врач хирург - стоматолог;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bookmarkStart w:id="96" w:name="_nke06d12xbsq"/>
      <w:bookmarkEnd w:id="96"/>
      <w:r>
        <w:rPr>
          <w:rFonts w:eastAsia="Times New Roman"/>
          <w:b/>
          <w:sz w:val="24"/>
          <w:szCs w:val="24"/>
        </w:rPr>
        <w:t>Топольницкий Орест Зиновьевич -</w:t>
      </w:r>
      <w:r>
        <w:rPr>
          <w:rFonts w:eastAsia="Times New Roman"/>
          <w:sz w:val="24"/>
          <w:szCs w:val="24"/>
        </w:rPr>
        <w:t xml:space="preserve"> д. м. н., профессор, заслуженный врач России, заведующий кафедрой ДЧЛХ МГМСУ им. А. И. Евдокимова, врач челюстно - лицевой хирург;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bookmarkStart w:id="97" w:name="_b5e1yazaq1zz"/>
      <w:bookmarkEnd w:id="97"/>
      <w:r>
        <w:rPr>
          <w:rFonts w:eastAsia="Times New Roman"/>
          <w:b/>
          <w:sz w:val="24"/>
          <w:szCs w:val="24"/>
        </w:rPr>
        <w:t xml:space="preserve">Черняев Сергей Евгеньевич - </w:t>
      </w:r>
      <w:r>
        <w:rPr>
          <w:rFonts w:eastAsia="Times New Roman"/>
          <w:sz w:val="24"/>
          <w:szCs w:val="24"/>
        </w:rPr>
        <w:t>к. м. н., заведующий отделением хирургической стоматологии (детского), врач хирург - стоматолог;</w:t>
      </w:r>
    </w:p>
    <w:p>
      <w:pPr>
        <w:pStyle w:val="Normal"/>
        <w:spacing w:lineRule="auto" w:line="360"/>
        <w:jc w:val="both"/>
        <w:rPr>
          <w:rFonts w:eastAsia="Times New Roman"/>
          <w:b/>
          <w:b/>
          <w:sz w:val="24"/>
          <w:szCs w:val="24"/>
        </w:rPr>
      </w:pPr>
      <w:bookmarkStart w:id="98" w:name="_v3ychfeko9al"/>
      <w:bookmarkEnd w:id="98"/>
      <w:r>
        <w:rPr>
          <w:rFonts w:eastAsia="Times New Roman"/>
          <w:b/>
          <w:sz w:val="24"/>
          <w:szCs w:val="24"/>
        </w:rPr>
        <w:t xml:space="preserve">Гургенадзе Анна Панаетовна </w:t>
      </w:r>
      <w:r>
        <w:rPr>
          <w:rFonts w:eastAsia="Times New Roman"/>
          <w:sz w:val="24"/>
          <w:szCs w:val="24"/>
        </w:rPr>
        <w:t>- к. м. н., доцент, заведующая учебной частью кафедры ДЧЛХ МГМСУ им. А. И. Евдокимова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bookmarkStart w:id="99" w:name="_enb5tj5w0ofl"/>
      <w:bookmarkStart w:id="100" w:name="_enb5tj5w0ofl"/>
      <w:bookmarkEnd w:id="100"/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Конфликт интересов: отсутствует.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br w:type="page"/>
      </w:r>
    </w:p>
    <w:p>
      <w:pPr>
        <w:pStyle w:val="1"/>
        <w:keepLines/>
        <w:rPr/>
      </w:pPr>
      <w:bookmarkStart w:id="101" w:name="__RefHeading___Toc14590_2770555280"/>
      <w:bookmarkStart w:id="102" w:name="_Toc50366642"/>
      <w:bookmarkStart w:id="103" w:name="_2bn6wsx"/>
      <w:bookmarkEnd w:id="101"/>
      <w:bookmarkEnd w:id="103"/>
      <w:r>
        <w:rPr/>
        <w:t>Приложение А2. Методология разработки клинических рекомендаций</w:t>
      </w:r>
      <w:bookmarkEnd w:id="102"/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Целевая аудитория данных клинических рекомендаций: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Врачи-стоматологи общей практики 31.08.72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Врачи-стоматологи-терапевты 31.08.73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Врачи - стоматологи - хирурги 31.08.74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Врачи-стоматологи детские 31.08.76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Врачи-ортодонты 31.08.77 </w:t>
      </w:r>
    </w:p>
    <w:p>
      <w:pPr>
        <w:pStyle w:val="Normal"/>
        <w:spacing w:lineRule="auto" w:line="360"/>
        <w:jc w:val="both"/>
        <w:rPr/>
      </w:pPr>
      <w:r>
        <w:rPr>
          <w:rFonts w:eastAsia="Times New Roman"/>
          <w:b/>
          <w:sz w:val="24"/>
          <w:szCs w:val="24"/>
        </w:rPr>
        <w:t xml:space="preserve">Таблица 1. </w:t>
      </w:r>
      <w:r>
        <w:rPr>
          <w:rFonts w:eastAsia="Times New Roman"/>
          <w:b w:val="false"/>
          <w:bCs w:val="false"/>
          <w:sz w:val="24"/>
          <w:szCs w:val="24"/>
        </w:rPr>
        <w:t>Шкала оценки уровней достоверности доказательств (УДД) для методов диагностики (диагностических вмешательств)</w:t>
      </w:r>
    </w:p>
    <w:tbl>
      <w:tblPr>
        <w:tblW w:w="934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29"/>
        <w:gridCol w:w="7816"/>
      </w:tblGrid>
      <w:tr>
        <w:trPr/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УДД</w:t>
            </w:r>
          </w:p>
        </w:tc>
        <w:tc>
          <w:tcPr>
            <w:tcW w:w="7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Расшифровка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1"/>
              <w:widowControl w:val="false"/>
              <w:spacing w:lineRule="auto" w:line="276" w:before="0" w:after="140"/>
              <w:rPr/>
            </w:pPr>
            <w:r>
              <w:rPr/>
              <w:t>Систематические обзоры исследований с контролем  референсным методом или систематический обзор рандомизированных клинических исследований с применением мета - анализа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1"/>
              <w:widowControl w:val="false"/>
              <w:spacing w:lineRule="auto" w:line="276" w:before="0" w:after="140"/>
              <w:rPr/>
            </w:pPr>
            <w:r>
              <w:rPr/>
              <w:t>Отдельные исследования с контролем референсным методом или отдельные рандоминизированные клинические исследования и систематические обзоры исследований любого дизайна, за исключением рандоминизированных клинических исследований, с применением мета - анализа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3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1"/>
              <w:widowControl w:val="false"/>
              <w:spacing w:lineRule="auto" w:line="276" w:before="0" w:after="140"/>
              <w:rPr/>
            </w:pPr>
            <w:r>
              <w:rPr/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рандомизированные сравнительные исследования, в том числе когортные исследования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4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1"/>
              <w:widowControl w:val="false"/>
              <w:spacing w:before="0" w:after="140"/>
              <w:rPr/>
            </w:pPr>
            <w:r>
              <w:rPr/>
              <w:t>Несравнительные исследования, описание клинического случая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5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1"/>
              <w:widowControl w:val="false"/>
              <w:spacing w:before="0" w:after="140"/>
              <w:rPr/>
            </w:pPr>
            <w:r>
              <w:rPr/>
              <w:t>Имеются лишь обоснование механизма действия или мнение экспертов</w:t>
            </w:r>
          </w:p>
        </w:tc>
      </w:tr>
    </w:tbl>
    <w:p>
      <w:pPr>
        <w:pStyle w:val="Normal"/>
        <w:spacing w:lineRule="auto" w:line="360"/>
        <w:jc w:val="both"/>
        <w:rPr>
          <w:rFonts w:eastAsia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/>
          <w:b/>
          <w:sz w:val="24"/>
          <w:szCs w:val="24"/>
        </w:rPr>
        <w:t xml:space="preserve">Таблица 2. </w:t>
      </w:r>
      <w:r>
        <w:rPr>
          <w:rFonts w:eastAsia="Times New Roman"/>
          <w:b w:val="false"/>
          <w:bCs w:val="false"/>
          <w:sz w:val="24"/>
          <w:szCs w:val="24"/>
        </w:rPr>
        <w:t>Шкала оценки уровней достоверности доказательств (УДД) для методов профилактики, лечения и реабилитации (профилактических, лечебных, реабилитационных вмешательств)</w:t>
      </w:r>
    </w:p>
    <w:tbl>
      <w:tblPr>
        <w:tblW w:w="934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29"/>
        <w:gridCol w:w="7816"/>
      </w:tblGrid>
      <w:tr>
        <w:trPr/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УДД</w:t>
            </w:r>
          </w:p>
        </w:tc>
        <w:tc>
          <w:tcPr>
            <w:tcW w:w="7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Расшифровка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Систематический обзор РКИ с применением мета - анализа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Отдельные РКИ и систематические обзоры исследований любого дизайна, за исключением РКИ, с применением мета - анализа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3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Нерандоминизированные сравнительные исследования, в т. ч. когортные исследования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4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Несравнительные исследования, описание клинического случая или серии случаев, исследование «случай - контроль»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5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280" w:after="280"/>
        <w:jc w:val="both"/>
        <w:rPr>
          <w:rFonts w:eastAsia="Times New Roman"/>
          <w:b/>
          <w:b/>
          <w:color w:val="00000A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Таблица 3. </w:t>
      </w:r>
      <w:r>
        <w:rPr>
          <w:rFonts w:eastAsia="Times New Roman"/>
          <w:b w:val="false"/>
          <w:bCs w:val="false"/>
          <w:color w:val="000000"/>
          <w:sz w:val="24"/>
          <w:szCs w:val="24"/>
        </w:rPr>
        <w:t>Шкала оценки уровней 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W w:w="934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29"/>
        <w:gridCol w:w="7816"/>
      </w:tblGrid>
      <w:tr>
        <w:trPr/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УРР</w:t>
            </w:r>
          </w:p>
        </w:tc>
        <w:tc>
          <w:tcPr>
            <w:tcW w:w="7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Расшифровка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А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В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и/илиих выводы по интересующим исходам не являются согласованными)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С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Слабая рекомендация (отсутствие доказательств надлежащего качества (все рассматриваемые критерии эффективности (исходы) являются не важными, все исследования имеют низкое методологическое качество и их выводы по интересующим нас исходам не являются согласованными)</w:t>
            </w:r>
          </w:p>
        </w:tc>
      </w:tr>
    </w:tbl>
    <w:p>
      <w:pPr>
        <w:pStyle w:val="Normal"/>
        <w:spacing w:lineRule="auto" w:line="360" w:before="280" w:after="28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color w:val="000000"/>
          <w:sz w:val="24"/>
          <w:szCs w:val="24"/>
        </w:rPr>
        <w:t>Порядок обновления клинических рекомендаций – пересмотр 1 раз в 3 года,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утвержденным КР, на не чаще 1 раза в 6 месяцев.</w:t>
      </w:r>
    </w:p>
    <w:p>
      <w:pPr>
        <w:pStyle w:val="1"/>
        <w:keepLines/>
        <w:spacing w:before="0" w:after="0"/>
        <w:rPr/>
      </w:pPr>
      <w:r>
        <w:rPr/>
      </w:r>
      <w:bookmarkStart w:id="104" w:name="_qsh70q"/>
      <w:bookmarkStart w:id="105" w:name="_qsh70q"/>
      <w:bookmarkEnd w:id="105"/>
      <w:r>
        <w:br w:type="page"/>
      </w:r>
    </w:p>
    <w:p>
      <w:pPr>
        <w:pStyle w:val="Normal"/>
        <w:rPr/>
      </w:pPr>
      <w:bookmarkStart w:id="106" w:name="_Toc50366643"/>
      <w:r>
        <mc:AlternateContent>
          <mc:Choice Requires="wps">
            <w:drawing>
              <wp:anchor behindDoc="0" distT="0" distB="0" distL="0" distR="0" simplePos="0" locked="0" layoutInCell="0" allowOverlap="1" relativeHeight="34">
                <wp:simplePos x="0" y="0"/>
                <wp:positionH relativeFrom="column">
                  <wp:posOffset>1072515</wp:posOffset>
                </wp:positionH>
                <wp:positionV relativeFrom="paragraph">
                  <wp:posOffset>271145</wp:posOffset>
                </wp:positionV>
                <wp:extent cx="2926080" cy="249555"/>
                <wp:effectExtent l="0" t="0" r="28575" b="19050"/>
                <wp:wrapNone/>
                <wp:docPr id="1" name="Надпись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60" cy="24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Пациент с подозрением на кисту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9" fillcolor="white" stroked="t" style="position:absolute;margin-left:84.45pt;margin-top:21.35pt;width:230.3pt;height:19.55pt;v-text-anchor:top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Пациент с подозрением на кисту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Приложение Б. Алгоритмы </w:t>
      </w:r>
      <w:bookmarkEnd w:id="106"/>
      <w:r>
        <w:rPr/>
        <w:t>действий врача</w:t>
      </w:r>
    </w:p>
    <w:p>
      <w:pPr>
        <w:pStyle w:val="Normal"/>
        <w:keepLines/>
        <w:rPr>
          <w:rFonts w:eastAsia="Times New Roman"/>
        </w:rPr>
      </w:pPr>
      <w:r>
        <w:rPr>
          <w:rFonts w:eastAsia="Times New Roman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6F1D2B9E">
                <wp:simplePos x="0" y="0"/>
                <wp:positionH relativeFrom="column">
                  <wp:posOffset>2530475</wp:posOffset>
                </wp:positionH>
                <wp:positionV relativeFrom="paragraph">
                  <wp:posOffset>288290</wp:posOffset>
                </wp:positionV>
                <wp:extent cx="2540" cy="268605"/>
                <wp:effectExtent l="76200" t="0" r="57150" b="57150"/>
                <wp:wrapNone/>
                <wp:docPr id="3" name="Прямая со стрелкой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67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4077D38F">
                <wp:simplePos x="0" y="0"/>
                <wp:positionH relativeFrom="column">
                  <wp:posOffset>1282700</wp:posOffset>
                </wp:positionH>
                <wp:positionV relativeFrom="paragraph">
                  <wp:posOffset>300355</wp:posOffset>
                </wp:positionV>
                <wp:extent cx="2487930" cy="249555"/>
                <wp:effectExtent l="0" t="0" r="28575" b="19050"/>
                <wp:wrapNone/>
                <wp:docPr id="4" name="Прямоугольник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240" cy="248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Диагностика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1" fillcolor="white" stroked="t" style="position:absolute;margin-left:101pt;margin-top:23.65pt;width:195.8pt;height:19.55pt;v-text-anchor:middle" wp14:anchorId="4077D38F">
                <w10:wrap type="none"/>
                <v:fill o:detectmouseclick="t" type="solid" color2="black"/>
                <v:stroke color="black" weight="9360" joinstyle="round" endcap="flat"/>
                <v:shadow on="t" obscured="f" color="black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Диагностика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1" wp14:anchorId="0D584054">
                <wp:simplePos x="0" y="0"/>
                <wp:positionH relativeFrom="column">
                  <wp:posOffset>1135380</wp:posOffset>
                </wp:positionH>
                <wp:positionV relativeFrom="paragraph">
                  <wp:posOffset>88900</wp:posOffset>
                </wp:positionV>
                <wp:extent cx="2345055" cy="7164705"/>
                <wp:effectExtent l="1562100" t="76200" r="19050" b="19050"/>
                <wp:wrapNone/>
                <wp:docPr id="6" name="Соединительная линия уступом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344320" cy="7164000"/>
                        </a:xfrm>
                        <a:prstGeom prst="bentConnector3">
                          <a:avLst>
                            <a:gd name="adj1" fmla="val 16627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4" coordsize="21600,21600" o:spt="34" adj="10800" path="m,l@0,l@0,21600l21600,21600nfe">
                <v:stroke joinstyle="miter"/>
                <v:formulas>
                  <v:f eqn="val #0"/>
                </v:formulas>
                <v:path gradientshapeok="t" o:connecttype="rect" textboxrect="0,0,21600,21600"/>
                <v:handles>
                  <v:h position="@0,10800"/>
                </v:handles>
              </v:shapetype>
              <v:shape id="shape_0" ID="Соединительная линия уступом 27" stroked="t" style="position:absolute;margin-left:89.4pt;margin-top:7pt;width:184.55pt;height:564.05pt;flip:xy;v-text-anchor:middle" wp14:anchorId="0D584054" type="shapetype_34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 wp14:anchorId="60BB6CF3">
                <wp:simplePos x="0" y="0"/>
                <wp:positionH relativeFrom="column">
                  <wp:posOffset>758825</wp:posOffset>
                </wp:positionH>
                <wp:positionV relativeFrom="paragraph">
                  <wp:posOffset>210185</wp:posOffset>
                </wp:positionV>
                <wp:extent cx="1068705" cy="259080"/>
                <wp:effectExtent l="0" t="0" r="19050" b="28575"/>
                <wp:wrapNone/>
                <wp:docPr id="7" name="Прямоугольник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120" cy="258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Осмотр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0" fillcolor="white" stroked="t" style="position:absolute;margin-left:59.75pt;margin-top:16.55pt;width:84.05pt;height:20.3pt;v-text-anchor:middle" wp14:anchorId="60BB6CF3">
                <w10:wrap type="none"/>
                <v:fill o:detectmouseclick="t" type="solid" color2="black"/>
                <v:stroke color="black" weight="9360" joinstyle="round" endcap="flat"/>
                <v:shadow on="t" obscured="f" color="black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Осмотр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372B746F">
                <wp:simplePos x="0" y="0"/>
                <wp:positionH relativeFrom="column">
                  <wp:posOffset>1472565</wp:posOffset>
                </wp:positionH>
                <wp:positionV relativeFrom="paragraph">
                  <wp:posOffset>10160</wp:posOffset>
                </wp:positionV>
                <wp:extent cx="335280" cy="154305"/>
                <wp:effectExtent l="38100" t="0" r="28575" b="57150"/>
                <wp:wrapNone/>
                <wp:docPr id="9" name="Прямая со стрелкой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4800" cy="153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175">
                          <a:round/>
                          <a:tailEnd len="med" type="triangle" w="med"/>
                        </a:ln>
                        <a:effectLst>
                          <a:outerShdw blurRad="40000" dir="5400000" dist="2016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 wp14:anchorId="4729DA79">
                <wp:simplePos x="0" y="0"/>
                <wp:positionH relativeFrom="column">
                  <wp:posOffset>3025775</wp:posOffset>
                </wp:positionH>
                <wp:positionV relativeFrom="paragraph">
                  <wp:posOffset>10160</wp:posOffset>
                </wp:positionV>
                <wp:extent cx="354330" cy="154305"/>
                <wp:effectExtent l="0" t="0" r="66675" b="57150"/>
                <wp:wrapNone/>
                <wp:docPr id="10" name="Прямая со стрелкой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20" cy="153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 wp14:anchorId="15BA0756">
                <wp:simplePos x="0" y="0"/>
                <wp:positionH relativeFrom="column">
                  <wp:posOffset>2873375</wp:posOffset>
                </wp:positionH>
                <wp:positionV relativeFrom="paragraph">
                  <wp:posOffset>210185</wp:posOffset>
                </wp:positionV>
                <wp:extent cx="1249680" cy="268605"/>
                <wp:effectExtent l="0" t="0" r="28575" b="19050"/>
                <wp:wrapNone/>
                <wp:docPr id="11" name="Прямоугольник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0" cy="267840"/>
                        </a:xfrm>
                        <a:prstGeom prst="rect">
                          <a:avLst/>
                        </a:prstGeom>
                        <a:ln w="3175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Опрос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0" fillcolor="white" stroked="t" style="position:absolute;margin-left:226.25pt;margin-top:16.55pt;width:98.3pt;height:21.05pt;v-text-anchor:middle" wp14:anchorId="15BA0756">
                <w10:wrap type="none"/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Опрос</w:t>
                      </w:r>
                    </w:p>
                  </w:txbxContent>
                </v:textbox>
              </v:rect>
            </w:pict>
          </mc:Fallback>
        </mc:AlternateContent>
      </w:r>
      <w:bookmarkStart w:id="107" w:name="_1ce8218lh4f8"/>
      <w:bookmarkStart w:id="108" w:name="_1ce8218lh4f8"/>
      <w:bookmarkEnd w:id="108"/>
    </w:p>
    <w:p>
      <w:pPr>
        <w:pStyle w:val="1"/>
        <w:keepLines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0" wp14:anchorId="02780B44">
                <wp:simplePos x="0" y="0"/>
                <wp:positionH relativeFrom="column">
                  <wp:posOffset>1148715</wp:posOffset>
                </wp:positionH>
                <wp:positionV relativeFrom="paragraph">
                  <wp:posOffset>369570</wp:posOffset>
                </wp:positionV>
                <wp:extent cx="1905" cy="1270"/>
                <wp:effectExtent l="0" t="0" r="19050" b="19050"/>
                <wp:wrapNone/>
                <wp:docPr id="13" name="Прямая соединительная линия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45pt,29.1pt" to="90.5pt,29.1pt" ID="Прямая соединительная линия 64" stroked="t" style="position:absolute;flip:x" wp14:anchorId="02780B44">
                <v:stroke color="black" weight="3240" joinstyle="round" endcap="flat"/>
                <v:fill o:detectmouseclick="t" on="false"/>
                <v:shadow on="t" obscured="f" color="black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 wp14:anchorId="7A2F2045">
                <wp:simplePos x="0" y="0"/>
                <wp:positionH relativeFrom="column">
                  <wp:posOffset>3387090</wp:posOffset>
                </wp:positionH>
                <wp:positionV relativeFrom="paragraph">
                  <wp:posOffset>369570</wp:posOffset>
                </wp:positionV>
                <wp:extent cx="1905" cy="1270"/>
                <wp:effectExtent l="0" t="0" r="19050" b="19050"/>
                <wp:wrapNone/>
                <wp:docPr id="14" name="Прямая соединительная линия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6.7pt,29.1pt" to="266.75pt,29.1pt" ID="Прямая соединительная линия 67" stroked="t" style="position:absolute;flip:x" wp14:anchorId="7A2F2045">
                <v:stroke color="black" weight="3240" joinstyle="round" endcap="flat"/>
                <v:fill o:detectmouseclick="t" on="false"/>
                <v:shadow on="t" obscured="f" color="black"/>
              </v:line>
            </w:pict>
          </mc:Fallback>
        </mc:AlternateContent>
      </w:r>
      <w:bookmarkStart w:id="109" w:name="_Toc50366644"/>
      <w:bookmarkStart w:id="110" w:name="_Toc50366644"/>
      <w:bookmarkEnd w:id="110"/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2" wp14:anchorId="39CA1D74">
                <wp:simplePos x="0" y="0"/>
                <wp:positionH relativeFrom="column">
                  <wp:posOffset>1311275</wp:posOffset>
                </wp:positionH>
                <wp:positionV relativeFrom="paragraph">
                  <wp:posOffset>194945</wp:posOffset>
                </wp:positionV>
                <wp:extent cx="2240280" cy="1270"/>
                <wp:effectExtent l="0" t="0" r="28575" b="19050"/>
                <wp:wrapNone/>
                <wp:docPr id="15" name="Прямая соединительная линия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5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3.25pt,15.35pt" to="279.55pt,15.35pt" ID="Прямая соединительная линия 68" stroked="t" style="position:absolute" wp14:anchorId="39CA1D74">
                <v:stroke color="black" weight="3240" joinstyle="round" endcap="flat"/>
                <v:fill o:detectmouseclick="t" on="false"/>
                <v:shadow on="t" obscured="f" color="black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 wp14:anchorId="1A99D00C">
                <wp:simplePos x="0" y="0"/>
                <wp:positionH relativeFrom="column">
                  <wp:posOffset>2530475</wp:posOffset>
                </wp:positionH>
                <wp:positionV relativeFrom="paragraph">
                  <wp:posOffset>237490</wp:posOffset>
                </wp:positionV>
                <wp:extent cx="2540" cy="363855"/>
                <wp:effectExtent l="76200" t="0" r="76200" b="57150"/>
                <wp:wrapNone/>
                <wp:docPr id="16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36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9" wp14:anchorId="2D8231EA">
                <wp:simplePos x="0" y="0"/>
                <wp:positionH relativeFrom="column">
                  <wp:posOffset>1539875</wp:posOffset>
                </wp:positionH>
                <wp:positionV relativeFrom="paragraph">
                  <wp:posOffset>38735</wp:posOffset>
                </wp:positionV>
                <wp:extent cx="2011680" cy="1240155"/>
                <wp:effectExtent l="0" t="0" r="28575" b="19050"/>
                <wp:wrapNone/>
                <wp:docPr id="17" name="Ромб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960" cy="123948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Диагноз подтвержден?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4" coordsize="21600,21600" o:spt="4" path="m,10800l10800,l21600,10800l10800,21600xe">
                <v:stroke joinstyle="miter"/>
                <v:formulas>
                  <v:f eqn="prod width 3 4"/>
                  <v:f eqn="prod height 3 4"/>
                </v:formulas>
                <v:path gradientshapeok="t" o:connecttype="rect" textboxrect="5400,5400,@0,@1"/>
              </v:shapetype>
              <v:shape id="shape_0" ID="Ромб 62" fillcolor="white" stroked="t" style="position:absolute;margin-left:121.25pt;margin-top:3.05pt;width:158.3pt;height:97.55pt;v-text-anchor:middle" wp14:anchorId="2D8231EA" type="shapetype_4">
                <w10:wrap type="none"/>
                <v:fill o:detectmouseclick="t" type="solid" color2="black"/>
                <v:stroke color="black" weight="9360" joinstyle="round" endcap="flat"/>
                <v:shadow on="t" obscured="f" color="black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Диагноз подтвержден?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 wp14:anchorId="003B3712">
                <wp:simplePos x="0" y="0"/>
                <wp:positionH relativeFrom="column">
                  <wp:posOffset>-288925</wp:posOffset>
                </wp:positionH>
                <wp:positionV relativeFrom="paragraph">
                  <wp:posOffset>131445</wp:posOffset>
                </wp:positionV>
                <wp:extent cx="1078230" cy="802005"/>
                <wp:effectExtent l="0" t="0" r="28575" b="19050"/>
                <wp:wrapNone/>
                <wp:docPr id="19" name="Надпись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480" cy="80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Поиск других причин или снятие диагноза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6" fillcolor="white" stroked="t" style="position:absolute;margin-left:-22.75pt;margin-top:10.35pt;width:84.8pt;height:63.05pt;v-text-anchor:top" wp14:anchorId="003B3712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Поиск других причин или снятие диагноза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2220" w:leader="none"/>
          <w:tab w:val="left" w:pos="6390" w:leader="none"/>
        </w:tabs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8" wp14:anchorId="25A3C1FE">
                <wp:simplePos x="0" y="0"/>
                <wp:positionH relativeFrom="column">
                  <wp:posOffset>4248150</wp:posOffset>
                </wp:positionH>
                <wp:positionV relativeFrom="paragraph">
                  <wp:posOffset>145415</wp:posOffset>
                </wp:positionV>
                <wp:extent cx="1068705" cy="325755"/>
                <wp:effectExtent l="0" t="0" r="19050" b="19050"/>
                <wp:wrapNone/>
                <wp:docPr id="21" name="Прямоугольник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120" cy="325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Лечение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1" fillcolor="white" stroked="t" style="position:absolute;margin-left:334.5pt;margin-top:11.45pt;width:84.05pt;height:25.55pt;v-text-anchor:middle" wp14:anchorId="25A3C1FE">
                <w10:wrap type="none"/>
                <v:fill o:detectmouseclick="t" type="solid" color2="black"/>
                <v:stroke color="black" weight="9360" joinstyle="round" endcap="flat"/>
                <v:shadow on="t" obscured="f" color="black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Лечение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 wp14:anchorId="7C7B7F4B">
                <wp:simplePos x="0" y="0"/>
                <wp:positionH relativeFrom="column">
                  <wp:posOffset>4864100</wp:posOffset>
                </wp:positionH>
                <wp:positionV relativeFrom="paragraph">
                  <wp:posOffset>3044190</wp:posOffset>
                </wp:positionV>
                <wp:extent cx="1268730" cy="440055"/>
                <wp:effectExtent l="0" t="0" r="28575" b="19050"/>
                <wp:wrapNone/>
                <wp:docPr id="23" name="Надпись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920" cy="43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Консервативное лечение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4" fillcolor="white" stroked="t" style="position:absolute;margin-left:383pt;margin-top:239.7pt;width:99.8pt;height:34.55pt;v-text-anchor:top" wp14:anchorId="7C7B7F4B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Консервативное лечение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                              </w:t>
      </w:r>
      <w:r>
        <w:rPr/>
        <w:t>Нет</w:t>
        <w:tab/>
        <w:t xml:space="preserve">                                                                  Да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4" wp14:anchorId="168ADD28">
                <wp:simplePos x="0" y="0"/>
                <wp:positionH relativeFrom="column">
                  <wp:posOffset>3616325</wp:posOffset>
                </wp:positionH>
                <wp:positionV relativeFrom="paragraph">
                  <wp:posOffset>22225</wp:posOffset>
                </wp:positionV>
                <wp:extent cx="544830" cy="2540"/>
                <wp:effectExtent l="0" t="76200" r="9525" b="95250"/>
                <wp:wrapNone/>
                <wp:docPr id="25" name="Прямая со стрелкой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2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 wp14:anchorId="4A0DDE0A">
                <wp:simplePos x="0" y="0"/>
                <wp:positionH relativeFrom="column">
                  <wp:posOffset>900430</wp:posOffset>
                </wp:positionH>
                <wp:positionV relativeFrom="paragraph">
                  <wp:posOffset>22225</wp:posOffset>
                </wp:positionV>
                <wp:extent cx="573405" cy="2540"/>
                <wp:effectExtent l="38100" t="76200" r="0" b="95250"/>
                <wp:wrapNone/>
                <wp:docPr id="26" name="Прямая со стрелкой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276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 wp14:anchorId="3310976D">
                <wp:simplePos x="0" y="0"/>
                <wp:positionH relativeFrom="column">
                  <wp:posOffset>4683125</wp:posOffset>
                </wp:positionH>
                <wp:positionV relativeFrom="paragraph">
                  <wp:posOffset>175895</wp:posOffset>
                </wp:positionV>
                <wp:extent cx="2540" cy="478155"/>
                <wp:effectExtent l="76200" t="0" r="57150" b="57150"/>
                <wp:wrapNone/>
                <wp:docPr id="27" name="Прямая со стрелкой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477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2" wp14:anchorId="517478E8">
                <wp:simplePos x="0" y="0"/>
                <wp:positionH relativeFrom="column">
                  <wp:posOffset>154305</wp:posOffset>
                </wp:positionH>
                <wp:positionV relativeFrom="paragraph">
                  <wp:posOffset>45085</wp:posOffset>
                </wp:positionV>
                <wp:extent cx="668655" cy="3440430"/>
                <wp:effectExtent l="76200" t="38100" r="19050" b="28575"/>
                <wp:wrapNone/>
                <wp:docPr id="28" name="Соединительная линия уступом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68160" cy="343980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оединительная линия уступом 28" stroked="t" style="position:absolute;margin-left:12.15pt;margin-top:3.55pt;width:52.55pt;height:270.8pt;flip:xy;v-text-anchor:middle" wp14:anchorId="517478E8" type="shapetype_34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8" wp14:anchorId="0903D099">
                <wp:simplePos x="0" y="0"/>
                <wp:positionH relativeFrom="column">
                  <wp:posOffset>3663950</wp:posOffset>
                </wp:positionH>
                <wp:positionV relativeFrom="paragraph">
                  <wp:posOffset>115570</wp:posOffset>
                </wp:positionV>
                <wp:extent cx="2021205" cy="1583055"/>
                <wp:effectExtent l="0" t="0" r="19050" b="19050"/>
                <wp:wrapNone/>
                <wp:docPr id="29" name="Ромб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680" cy="1582560"/>
                        </a:xfrm>
                        <a:prstGeom prst="diamond">
                          <a:avLst/>
                        </a:prstGeom>
                        <a:ln w="3175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Есть ли показания к хирургическому лечению?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Ромб 9" fillcolor="white" stroked="t" style="position:absolute;margin-left:288.5pt;margin-top:9.1pt;width:159.05pt;height:124.55pt;v-text-anchor:middle" wp14:anchorId="0903D099" type="shapetype_4">
                <w10:wrap type="none"/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Есть ли показания к хирургическому лечению?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1" wp14:anchorId="54556B0E">
                <wp:simplePos x="0" y="0"/>
                <wp:positionH relativeFrom="column">
                  <wp:posOffset>1577975</wp:posOffset>
                </wp:positionH>
                <wp:positionV relativeFrom="paragraph">
                  <wp:posOffset>225425</wp:posOffset>
                </wp:positionV>
                <wp:extent cx="1344930" cy="659130"/>
                <wp:effectExtent l="0" t="0" r="28575" b="28575"/>
                <wp:wrapNone/>
                <wp:docPr id="31" name="Надпись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240" cy="65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Проведение хирургического вмешательства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6" fillcolor="white" stroked="t" style="position:absolute;margin-left:124.25pt;margin-top:17.75pt;width:105.8pt;height:51.8pt;v-text-anchor:top" wp14:anchorId="54556B0E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Проведение хирургического вмешательства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0" wp14:anchorId="7873889E">
                <wp:simplePos x="0" y="0"/>
                <wp:positionH relativeFrom="column">
                  <wp:posOffset>2995930</wp:posOffset>
                </wp:positionH>
                <wp:positionV relativeFrom="paragraph">
                  <wp:posOffset>247015</wp:posOffset>
                </wp:positionV>
                <wp:extent cx="554355" cy="2540"/>
                <wp:effectExtent l="38100" t="76200" r="0" b="95250"/>
                <wp:wrapNone/>
                <wp:docPr id="33" name="Прямая со стрелкой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368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3" wp14:anchorId="679E364A">
                <wp:simplePos x="0" y="0"/>
                <wp:positionH relativeFrom="column">
                  <wp:posOffset>2206625</wp:posOffset>
                </wp:positionH>
                <wp:positionV relativeFrom="paragraph">
                  <wp:posOffset>1485265</wp:posOffset>
                </wp:positionV>
                <wp:extent cx="2540" cy="335280"/>
                <wp:effectExtent l="76200" t="0" r="76200" b="47625"/>
                <wp:wrapNone/>
                <wp:docPr id="34" name="Прямая со стрелкой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334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7" wp14:anchorId="20B2D19A">
                <wp:simplePos x="0" y="0"/>
                <wp:positionH relativeFrom="column">
                  <wp:posOffset>3997325</wp:posOffset>
                </wp:positionH>
                <wp:positionV relativeFrom="paragraph">
                  <wp:posOffset>2332990</wp:posOffset>
                </wp:positionV>
                <wp:extent cx="1354455" cy="487680"/>
                <wp:effectExtent l="0" t="0" r="19050" b="28575"/>
                <wp:wrapNone/>
                <wp:docPr id="35" name="Надпись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960" cy="4870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Диспансерное наблюдение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3" fillcolor="white" stroked="t" style="position:absolute;margin-left:314.75pt;margin-top:183.7pt;width:106.55pt;height:38.3pt;v-text-anchor:top" wp14:anchorId="20B2D19A">
                <w10:wrap type="none"/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Диспансерное наблюдение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8" wp14:anchorId="79412E48">
                <wp:simplePos x="0" y="0"/>
                <wp:positionH relativeFrom="column">
                  <wp:posOffset>4664075</wp:posOffset>
                </wp:positionH>
                <wp:positionV relativeFrom="paragraph">
                  <wp:posOffset>2894965</wp:posOffset>
                </wp:positionV>
                <wp:extent cx="2540" cy="287655"/>
                <wp:effectExtent l="76200" t="0" r="57150" b="57150"/>
                <wp:wrapNone/>
                <wp:docPr id="37" name="Прямая со стрелкой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86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0" wp14:anchorId="37DCA165">
                <wp:simplePos x="0" y="0"/>
                <wp:positionH relativeFrom="column">
                  <wp:posOffset>5345430</wp:posOffset>
                </wp:positionH>
                <wp:positionV relativeFrom="paragraph">
                  <wp:posOffset>2548255</wp:posOffset>
                </wp:positionV>
                <wp:extent cx="382905" cy="1325880"/>
                <wp:effectExtent l="38100" t="76200" r="381000" b="28575"/>
                <wp:wrapNone/>
                <wp:docPr id="38" name="Соединительная линия уступом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82320" cy="1325160"/>
                        </a:xfrm>
                        <a:prstGeom prst="bentConnector3">
                          <a:avLst>
                            <a:gd name="adj1" fmla="val -925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оединительная линия уступом 26" stroked="t" style="position:absolute;margin-left:420.9pt;margin-top:200.65pt;width:30.05pt;height:104.3pt;flip:xy;v-text-anchor:middle" wp14:anchorId="37DCA165" type="shapetype_34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3" wp14:anchorId="4213545C">
                <wp:simplePos x="0" y="0"/>
                <wp:positionH relativeFrom="column">
                  <wp:posOffset>5788025</wp:posOffset>
                </wp:positionH>
                <wp:positionV relativeFrom="paragraph">
                  <wp:posOffset>244475</wp:posOffset>
                </wp:positionV>
                <wp:extent cx="163830" cy="1183005"/>
                <wp:effectExtent l="0" t="0" r="66675" b="57150"/>
                <wp:wrapNone/>
                <wp:docPr id="39" name="Соединительная линия уступом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80" cy="118224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оединительная линия уступом 29" stroked="t" style="position:absolute;margin-left:455.75pt;margin-top:19.25pt;width:12.8pt;height:93.05pt;v-text-anchor:middle" wp14:anchorId="4213545C" type="shapetype_34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/>
        <w:t xml:space="preserve">                                                                                          </w:t>
      </w:r>
      <w:r>
        <w:rPr/>
        <w:t>Да                                                                     Нет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5" wp14:anchorId="40C0D56B">
                <wp:simplePos x="0" y="0"/>
                <wp:positionH relativeFrom="column">
                  <wp:posOffset>2206625</wp:posOffset>
                </wp:positionH>
                <wp:positionV relativeFrom="paragraph">
                  <wp:posOffset>33020</wp:posOffset>
                </wp:positionV>
                <wp:extent cx="2540" cy="421005"/>
                <wp:effectExtent l="76200" t="0" r="57150" b="57150"/>
                <wp:wrapNone/>
                <wp:docPr id="40" name="Прямая со стрелкой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420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2" wp14:anchorId="5C22B994">
                <wp:simplePos x="0" y="0"/>
                <wp:positionH relativeFrom="column">
                  <wp:posOffset>1577975</wp:posOffset>
                </wp:positionH>
                <wp:positionV relativeFrom="paragraph">
                  <wp:posOffset>226060</wp:posOffset>
                </wp:positionV>
                <wp:extent cx="1240155" cy="268605"/>
                <wp:effectExtent l="0" t="0" r="19050" b="19050"/>
                <wp:wrapNone/>
                <wp:docPr id="41" name="Надпись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480" cy="2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Реабилитация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8" fillcolor="white" stroked="t" style="position:absolute;margin-left:124.25pt;margin-top:17.8pt;width:97.55pt;height:21.05pt;v-text-anchor:top" wp14:anchorId="5C22B994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Реабилитация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4" wp14:anchorId="2BD3CB91">
                <wp:simplePos x="0" y="0"/>
                <wp:positionH relativeFrom="column">
                  <wp:posOffset>1016000</wp:posOffset>
                </wp:positionH>
                <wp:positionV relativeFrom="paragraph">
                  <wp:posOffset>316865</wp:posOffset>
                </wp:positionV>
                <wp:extent cx="2364105" cy="1259205"/>
                <wp:effectExtent l="0" t="0" r="19050" b="19050"/>
                <wp:wrapNone/>
                <wp:docPr id="43" name="Ромб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400" cy="1258560"/>
                        </a:xfrm>
                        <a:prstGeom prst="diamond">
                          <a:avLst/>
                        </a:prstGeom>
                        <a:ln w="3175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Достигнут ли положительный результат?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Ромб 20" fillcolor="white" stroked="t" style="position:absolute;margin-left:80pt;margin-top:24.95pt;width:186.05pt;height:99.05pt;v-text-anchor:middle" wp14:anchorId="2BD3CB91" type="shapetype_4">
                <w10:wrap type="none"/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Достигнут ли положительный результат?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spacing w:lineRule="auto" w:line="600" w:before="240" w:after="0"/>
        <w:rPr/>
      </w:pPr>
      <w:r>
        <w:rPr/>
      </w:r>
    </w:p>
    <w:p>
      <w:pPr>
        <w:pStyle w:val="Normal"/>
        <w:ind w:firstLine="72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6" wp14:anchorId="51F49618">
                <wp:simplePos x="0" y="0"/>
                <wp:positionH relativeFrom="column">
                  <wp:posOffset>3482975</wp:posOffset>
                </wp:positionH>
                <wp:positionV relativeFrom="paragraph">
                  <wp:posOffset>197485</wp:posOffset>
                </wp:positionV>
                <wp:extent cx="459105" cy="2540"/>
                <wp:effectExtent l="0" t="76200" r="19050" b="95250"/>
                <wp:wrapNone/>
                <wp:docPr id="45" name="Прямая со стрелкой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6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Нет                                                                                   Да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9" wp14:anchorId="35C6FB85">
                <wp:simplePos x="0" y="0"/>
                <wp:positionH relativeFrom="column">
                  <wp:posOffset>3635375</wp:posOffset>
                </wp:positionH>
                <wp:positionV relativeFrom="paragraph">
                  <wp:posOffset>12065</wp:posOffset>
                </wp:positionV>
                <wp:extent cx="2049780" cy="1192530"/>
                <wp:effectExtent l="0" t="0" r="28575" b="28575"/>
                <wp:wrapNone/>
                <wp:docPr id="46" name="Ромб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20" cy="1191960"/>
                        </a:xfrm>
                        <a:prstGeom prst="diamond">
                          <a:avLst/>
                        </a:prstGeom>
                        <a:ln w="3175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Есть ли рецидив заболевания?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Ромб 25" fillcolor="white" stroked="t" style="position:absolute;margin-left:286.25pt;margin-top:0.95pt;width:161.3pt;height:93.8pt;v-text-anchor:middle" wp14:anchorId="35C6FB85" type="shapetype_4">
                <w10:wrap type="none"/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Есть ли рецидив заболевания?</w:t>
                      </w:r>
                    </w:p>
                  </w:txbxContent>
                </v:textbox>
              </v:shape>
            </w:pict>
          </mc:Fallback>
        </mc:AlternateContent>
      </w:r>
      <w:r>
        <w:rPr/>
        <w:t xml:space="preserve">  </w:t>
      </w:r>
    </w:p>
    <w:p>
      <w:pPr>
        <w:pStyle w:val="Normal"/>
        <w:spacing w:lineRule="auto" w:line="720" w:before="240" w:after="200"/>
        <w:jc w:val="center"/>
        <w:rPr/>
      </w:pPr>
      <w:r>
        <w:rPr/>
        <w:t xml:space="preserve">                                                                                           </w:t>
      </w:r>
      <w:r>
        <w:rPr/>
        <w:t xml:space="preserve">Да                                                                 Нет </w:t>
      </w:r>
    </w:p>
    <w:p>
      <w:pPr>
        <w:pStyle w:val="1"/>
        <w:keepLines/>
        <w:rPr/>
      </w:pPr>
      <w:r>
        <w:rPr/>
      </w:r>
    </w:p>
    <w:p>
      <w:pPr>
        <w:pStyle w:val="1"/>
        <w:rPr/>
      </w:pPr>
      <w:bookmarkStart w:id="111" w:name="__RefHeading___Toc14592_2770555280"/>
      <w:bookmarkStart w:id="112" w:name="_Toc50366645"/>
      <w:bookmarkStart w:id="113" w:name="_zinn33b4nri"/>
      <w:bookmarkEnd w:id="111"/>
      <w:bookmarkEnd w:id="113"/>
      <w:r>
        <w:rPr/>
        <w:t>Приложение В Информация для пациент</w:t>
      </w:r>
      <w:bookmarkEnd w:id="112"/>
      <w:r>
        <w:rPr/>
        <w:t>а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 предупредить родителей ребенка о обязательности соблюдения рекомендаций врача и сроков обращения, а также о  необходимости срочного обращения к врачу при наличии признаков ухудшения общего состояния ребенка, симптомов появления, распространения воспалительного процесса и отсутствии положительного результата после оказанной стоматологической помощи;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после оказания помощи детям рекомендуется ограничение жевания, употребления жесткой пищи для снижения риска травматизации слизистой оболочки полости рта;  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диетическим назначениям и ограничениям;</w:t>
      </w:r>
    </w:p>
    <w:p>
      <w:pPr>
        <w:pStyle w:val="Normal"/>
        <w:numPr>
          <w:ilvl w:val="0"/>
          <w:numId w:val="15"/>
        </w:numPr>
        <w:spacing w:lineRule="auto" w:line="360" w:before="0" w:after="1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первые сутки после операции рекомендовано соблюдать охранительный режим. </w:t>
      </w:r>
    </w:p>
    <w:p>
      <w:pPr>
        <w:pStyle w:val="Normal"/>
        <w:spacing w:lineRule="auto" w:line="360" w:before="280" w:after="280"/>
        <w:ind w:left="720" w:hanging="0"/>
        <w:jc w:val="both"/>
        <w:rPr/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700" w:right="860" w:header="708" w:top="708" w:footer="708" w:bottom="1248" w:gutter="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jc w:val="center"/>
      <w:rPr>
        <w:rFonts w:eastAsia="Times New Roman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9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360" w:before="240" w:after="0"/>
      <w:jc w:val="both"/>
      <w:outlineLvl w:val="0"/>
    </w:pPr>
    <w:rPr>
      <w:rFonts w:eastAsia="Times New Roman"/>
      <w:b/>
      <w:sz w:val="28"/>
      <w:szCs w:val="28"/>
    </w:rPr>
  </w:style>
  <w:style w:type="paragraph" w:styleId="2">
    <w:name w:val="Heading 2"/>
    <w:basedOn w:val="Normal"/>
    <w:next w:val="Normal"/>
    <w:qFormat/>
    <w:pPr>
      <w:spacing w:lineRule="auto" w:line="360" w:before="240" w:after="0"/>
      <w:ind w:firstLine="709"/>
      <w:jc w:val="both"/>
      <w:outlineLvl w:val="1"/>
    </w:pPr>
    <w:rPr>
      <w:rFonts w:eastAsia="Times New Roman"/>
      <w:b/>
      <w:sz w:val="24"/>
      <w:szCs w:val="24"/>
      <w:u w:val="single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ind w:left="720" w:hanging="360"/>
      <w:outlineLvl w:val="2"/>
    </w:pPr>
    <w:rPr>
      <w:rFonts w:eastAsia="Times New Roman"/>
      <w:b/>
      <w:i/>
      <w:sz w:val="24"/>
      <w:szCs w:val="24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basedOn w:val="DefaultParagraphFont"/>
    <w:uiPriority w:val="99"/>
    <w:unhideWhenUsed/>
    <w:rsid w:val="00de33c7"/>
    <w:rPr>
      <w:color w:val="0000FF" w:themeColor="hyperlink"/>
      <w:u w:val="single"/>
    </w:rPr>
  </w:style>
  <w:style w:type="character" w:styleId="Style9">
    <w:name w:val="Ссылка указателя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6">
    <w:name w:val="Subtitle"/>
    <w:basedOn w:val="Normal"/>
    <w:next w:val="Normal"/>
    <w:qFormat/>
    <w:pPr>
      <w:spacing w:lineRule="auto" w:line="360" w:before="0" w:after="0"/>
      <w:jc w:val="both"/>
    </w:pPr>
    <w:rPr>
      <w:rFonts w:eastAsia="Times New Roman"/>
      <w:i/>
      <w:sz w:val="24"/>
      <w:szCs w:val="24"/>
    </w:rPr>
  </w:style>
  <w:style w:type="paragraph" w:styleId="11">
    <w:name w:val="TOC 1"/>
    <w:basedOn w:val="Normal"/>
    <w:next w:val="Normal"/>
    <w:autoRedefine/>
    <w:uiPriority w:val="39"/>
    <w:unhideWhenUsed/>
    <w:rsid w:val="00de33c7"/>
    <w:pPr>
      <w:tabs>
        <w:tab w:val="clear" w:pos="709"/>
        <w:tab w:val="right" w:pos="9336" w:leader="none"/>
      </w:tabs>
      <w:spacing w:before="0" w:after="100"/>
      <w:jc w:val="center"/>
    </w:pPr>
    <w:rPr/>
  </w:style>
  <w:style w:type="paragraph" w:styleId="21">
    <w:name w:val="TOC 2"/>
    <w:basedOn w:val="Normal"/>
    <w:next w:val="Normal"/>
    <w:autoRedefine/>
    <w:uiPriority w:val="39"/>
    <w:unhideWhenUsed/>
    <w:rsid w:val="00de33c7"/>
    <w:pPr>
      <w:spacing w:before="0" w:after="100"/>
      <w:ind w:left="220" w:hanging="0"/>
    </w:pPr>
    <w:rPr/>
  </w:style>
  <w:style w:type="paragraph" w:styleId="31">
    <w:name w:val="TOC 3"/>
    <w:basedOn w:val="Normal"/>
    <w:next w:val="Normal"/>
    <w:autoRedefine/>
    <w:uiPriority w:val="39"/>
    <w:unhideWhenUsed/>
    <w:rsid w:val="00de33c7"/>
    <w:pPr>
      <w:spacing w:before="0" w:after="100"/>
      <w:ind w:left="440" w:hanging="0"/>
    </w:pPr>
    <w:rPr/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Footer"/>
    <w:basedOn w:val="Style18"/>
    <w:pPr/>
    <w:rPr/>
  </w:style>
  <w:style w:type="paragraph" w:styleId="Style20">
    <w:name w:val="Header"/>
    <w:basedOn w:val="Style18"/>
    <w:pPr/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TOCHeading">
    <w:name w:val="TOC Heading"/>
    <w:basedOn w:val="1"/>
    <w:qFormat/>
    <w:pPr>
      <w:keepNext w:val="true"/>
      <w:keepLines/>
      <w:spacing w:lineRule="exact" w:line="259" w:before="240" w:after="0"/>
    </w:pPr>
    <w:rPr>
      <w:rFonts w:ascii="Calibri" w:hAnsi="Calibri" w:eastAsia="Times New Roman"/>
      <w:b w:val="false"/>
      <w:color w:val="365F91"/>
      <w:sz w:val="32"/>
      <w:szCs w:val="32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B161C-117C-46E1-BCB5-3E251B05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LibreOffice/7.0.1.2$Windows_X86_64 LibreOffice_project/7cbcfc562f6eb6708b5ff7d7397325de9e764452</Application>
  <Pages>19</Pages>
  <Words>3165</Words>
  <Characters>22401</Characters>
  <CharactersWithSpaces>25622</CharactersWithSpaces>
  <Paragraphs>422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2020-11-15T21:21:24Z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